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2F" w:rsidRDefault="00D7712F" w:rsidP="00D7712F">
      <w:pPr>
        <w:rPr>
          <w:b/>
          <w:sz w:val="24"/>
        </w:rPr>
      </w:pPr>
      <w:r>
        <w:rPr>
          <w:noProof/>
          <w:lang w:eastAsia="el-GR"/>
        </w:rPr>
        <w:drawing>
          <wp:inline distT="0" distB="0" distL="0" distR="0" wp14:anchorId="16CC144B" wp14:editId="2E334DD3">
            <wp:extent cx="2131634" cy="514350"/>
            <wp:effectExtent l="0" t="0" r="2540" b="0"/>
            <wp:docPr id="2" name="Εικόνα 2" descr="C:\Users\user.TSL541\AppData\Local\Microsoft\Windows\INetCache\Content.Word\EFEPAE_LOGO_normal - Αντίγραφ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TSL541\AppData\Local\Microsoft\Windows\INetCache\Content.Word\EFEPAE_LOGO_normal - Αντίγραφο.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5531" cy="517703"/>
                    </a:xfrm>
                    <a:prstGeom prst="rect">
                      <a:avLst/>
                    </a:prstGeom>
                    <a:noFill/>
                    <a:ln>
                      <a:noFill/>
                    </a:ln>
                  </pic:spPr>
                </pic:pic>
              </a:graphicData>
            </a:graphic>
          </wp:inline>
        </w:drawing>
      </w:r>
      <w:r>
        <w:rPr>
          <w:b/>
          <w:sz w:val="24"/>
        </w:rPr>
        <w:t xml:space="preserve">                  </w:t>
      </w:r>
      <w:r>
        <w:rPr>
          <w:noProof/>
          <w:lang w:eastAsia="el-GR"/>
        </w:rPr>
        <w:drawing>
          <wp:inline distT="0" distB="0" distL="0" distR="0">
            <wp:extent cx="2324618" cy="539115"/>
            <wp:effectExtent l="0" t="0" r="0" b="0"/>
            <wp:docPr id="3" name="Εικόνα 3" descr="C:\Users\user.TSL541\AppData\Local\Microsoft\Windows\INetCache\Content.Word\KEPA ANEM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TSL541\AppData\Local\Microsoft\Windows\INetCache\Content.Word\KEPA ANEM log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7791" cy="546808"/>
                    </a:xfrm>
                    <a:prstGeom prst="rect">
                      <a:avLst/>
                    </a:prstGeom>
                    <a:noFill/>
                    <a:ln>
                      <a:noFill/>
                    </a:ln>
                  </pic:spPr>
                </pic:pic>
              </a:graphicData>
            </a:graphic>
          </wp:inline>
        </w:drawing>
      </w:r>
    </w:p>
    <w:p w:rsidR="00D7712F" w:rsidRDefault="00D7712F" w:rsidP="004E5516">
      <w:pPr>
        <w:rPr>
          <w:b/>
          <w:sz w:val="24"/>
        </w:rPr>
      </w:pPr>
    </w:p>
    <w:p w:rsidR="00D7712F" w:rsidRDefault="00D7712F" w:rsidP="004E5516">
      <w:pPr>
        <w:rPr>
          <w:b/>
          <w:sz w:val="24"/>
        </w:rPr>
      </w:pPr>
    </w:p>
    <w:p w:rsidR="00145CDD" w:rsidRPr="00D7712F" w:rsidRDefault="00D7712F" w:rsidP="004E5516">
      <w:pPr>
        <w:rPr>
          <w:b/>
          <w:sz w:val="24"/>
        </w:rPr>
      </w:pPr>
      <w:r w:rsidRPr="00D7712F">
        <w:rPr>
          <w:b/>
          <w:noProof/>
          <w:sz w:val="24"/>
          <w:lang w:eastAsia="el-GR"/>
        </w:rPr>
        <w:drawing>
          <wp:inline distT="0" distB="0" distL="0" distR="0">
            <wp:extent cx="5274310" cy="2645492"/>
            <wp:effectExtent l="0" t="0" r="2540" b="2540"/>
            <wp:docPr id="1" name="Εικόνα 1" descr="C:\Users\user.TSL541\Desktop\ΠΡΟΓΡΑΜΜΑ ΘΕΡΜΑΣΤΡΕΣ\01 banner_712x357 estiazoum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TSL541\Desktop\ΠΡΟΓΡΑΜΜΑ ΘΕΡΜΑΣΤΡΕΣ\01 banner_712x357 estiazoume-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645492"/>
                    </a:xfrm>
                    <a:prstGeom prst="rect">
                      <a:avLst/>
                    </a:prstGeom>
                    <a:noFill/>
                    <a:ln>
                      <a:noFill/>
                    </a:ln>
                  </pic:spPr>
                </pic:pic>
              </a:graphicData>
            </a:graphic>
          </wp:inline>
        </w:drawing>
      </w:r>
    </w:p>
    <w:p w:rsidR="00145CDD" w:rsidRDefault="00145CDD" w:rsidP="004E5516">
      <w:pPr>
        <w:rPr>
          <w:b/>
          <w:sz w:val="24"/>
          <w:u w:val="single"/>
        </w:rPr>
      </w:pPr>
    </w:p>
    <w:p w:rsidR="00145CDD" w:rsidRPr="00145CDD" w:rsidRDefault="00145CDD" w:rsidP="00D7712F">
      <w:pPr>
        <w:pBdr>
          <w:top w:val="single" w:sz="4" w:space="1" w:color="auto"/>
          <w:left w:val="single" w:sz="4" w:space="4" w:color="auto"/>
          <w:bottom w:val="single" w:sz="4" w:space="1" w:color="auto"/>
          <w:right w:val="single" w:sz="4" w:space="4" w:color="auto"/>
        </w:pBdr>
        <w:jc w:val="center"/>
        <w:rPr>
          <w:rFonts w:ascii="Tahoma" w:eastAsia="Calibri" w:hAnsi="Tahoma"/>
          <w:b/>
          <w:color w:val="44546A"/>
          <w:sz w:val="32"/>
          <w:szCs w:val="32"/>
        </w:rPr>
      </w:pPr>
      <w:r w:rsidRPr="00145CDD">
        <w:rPr>
          <w:rFonts w:ascii="Tahoma" w:eastAsia="Calibri" w:hAnsi="Tahoma"/>
          <w:b/>
          <w:color w:val="44546A"/>
          <w:sz w:val="32"/>
          <w:szCs w:val="32"/>
        </w:rPr>
        <w:t>Περίληψη Δράσης</w:t>
      </w:r>
    </w:p>
    <w:p w:rsidR="00145CDD" w:rsidRPr="003130EC" w:rsidRDefault="00145CDD" w:rsidP="00D7712F">
      <w:pPr>
        <w:pBdr>
          <w:top w:val="single" w:sz="4" w:space="1" w:color="auto"/>
          <w:left w:val="single" w:sz="4" w:space="4" w:color="auto"/>
          <w:bottom w:val="single" w:sz="4" w:space="1" w:color="auto"/>
          <w:right w:val="single" w:sz="4" w:space="4" w:color="auto"/>
        </w:pBdr>
        <w:jc w:val="center"/>
        <w:rPr>
          <w:b/>
          <w:color w:val="44546A"/>
          <w:sz w:val="32"/>
          <w:szCs w:val="32"/>
        </w:rPr>
      </w:pPr>
      <w:r w:rsidRPr="003130EC">
        <w:rPr>
          <w:b/>
          <w:color w:val="44546A"/>
          <w:sz w:val="32"/>
          <w:szCs w:val="32"/>
        </w:rPr>
        <w:t>«</w:t>
      </w:r>
      <w:r w:rsidRPr="00310948">
        <w:rPr>
          <w:rFonts w:ascii="Tahoma" w:eastAsia="Calibri" w:hAnsi="Tahoma"/>
          <w:b/>
          <w:color w:val="44546A"/>
          <w:sz w:val="32"/>
          <w:szCs w:val="32"/>
        </w:rPr>
        <w:t>ΕΠΙΧΟΡΗΓΗΣΗ ΕΠΙΧΕΙΡΗΣΕΩΝ ΕΣΤΙΑΣΗΣ ΓΙΑ ΤΗΝ ΠΡΟΜΗΘΕΙΑ ΘΕΡΜΑΝΤΙΚΩΝ ΣΩΜΑΤΩΝ ΕΞΩΤΕΡΙΚΟΥ ΧΩΡΟΥ</w:t>
      </w:r>
      <w:r w:rsidRPr="003130EC">
        <w:rPr>
          <w:b/>
          <w:color w:val="44546A"/>
          <w:sz w:val="32"/>
          <w:szCs w:val="32"/>
        </w:rPr>
        <w:t>»</w:t>
      </w:r>
    </w:p>
    <w:p w:rsidR="00145CDD" w:rsidRDefault="00145CDD" w:rsidP="00D7712F">
      <w:pPr>
        <w:pBdr>
          <w:top w:val="single" w:sz="4" w:space="1" w:color="auto"/>
          <w:left w:val="single" w:sz="4" w:space="4" w:color="auto"/>
          <w:bottom w:val="single" w:sz="4" w:space="1" w:color="auto"/>
          <w:right w:val="single" w:sz="4" w:space="4" w:color="auto"/>
        </w:pBdr>
        <w:rPr>
          <w:b/>
          <w:sz w:val="24"/>
          <w:u w:val="single"/>
        </w:rPr>
      </w:pPr>
    </w:p>
    <w:p w:rsidR="00145CDD" w:rsidRDefault="00145CDD" w:rsidP="004E5516">
      <w:pPr>
        <w:rPr>
          <w:b/>
          <w:sz w:val="24"/>
          <w:u w:val="single"/>
        </w:rPr>
      </w:pPr>
    </w:p>
    <w:p w:rsidR="00D7712F" w:rsidRDefault="00D7712F" w:rsidP="004E5516">
      <w:pPr>
        <w:rPr>
          <w:b/>
          <w:sz w:val="24"/>
          <w:u w:val="single"/>
        </w:rPr>
      </w:pPr>
    </w:p>
    <w:p w:rsidR="00D7712F" w:rsidRDefault="00D7712F" w:rsidP="004E5516">
      <w:pPr>
        <w:rPr>
          <w:b/>
          <w:sz w:val="24"/>
          <w:u w:val="single"/>
        </w:rPr>
      </w:pPr>
    </w:p>
    <w:p w:rsidR="00D7712F" w:rsidRDefault="00D7712F" w:rsidP="004E5516">
      <w:pPr>
        <w:rPr>
          <w:b/>
          <w:sz w:val="24"/>
          <w:u w:val="single"/>
        </w:rPr>
      </w:pPr>
    </w:p>
    <w:p w:rsidR="00D7712F" w:rsidRDefault="00D7712F" w:rsidP="004E5516">
      <w:pPr>
        <w:rPr>
          <w:b/>
          <w:sz w:val="24"/>
          <w:u w:val="single"/>
        </w:rPr>
      </w:pPr>
    </w:p>
    <w:p w:rsidR="00D7712F" w:rsidRDefault="00D7712F" w:rsidP="004E5516">
      <w:pPr>
        <w:rPr>
          <w:b/>
          <w:sz w:val="24"/>
          <w:u w:val="single"/>
        </w:rPr>
      </w:pPr>
    </w:p>
    <w:p w:rsidR="00D7712F" w:rsidRDefault="00D7712F" w:rsidP="004E5516">
      <w:pPr>
        <w:rPr>
          <w:b/>
          <w:sz w:val="24"/>
          <w:u w:val="single"/>
        </w:rPr>
      </w:pPr>
    </w:p>
    <w:p w:rsidR="00D7712F" w:rsidRPr="00D7712F" w:rsidRDefault="00D7712F" w:rsidP="00D7712F">
      <w:pPr>
        <w:jc w:val="center"/>
        <w:rPr>
          <w:rFonts w:ascii="Tahoma" w:hAnsi="Tahoma" w:cs="Tahoma"/>
          <w:sz w:val="28"/>
          <w:szCs w:val="28"/>
        </w:rPr>
      </w:pPr>
      <w:r w:rsidRPr="00D7712F">
        <w:rPr>
          <w:rFonts w:ascii="Tahoma" w:hAnsi="Tahoma" w:cs="Tahoma"/>
          <w:sz w:val="28"/>
          <w:szCs w:val="28"/>
        </w:rPr>
        <w:t>Θεσσαλονίκη Ιανουάριος 2021</w:t>
      </w:r>
    </w:p>
    <w:p w:rsidR="00D7712F" w:rsidRDefault="00D7712F" w:rsidP="004E5516">
      <w:pPr>
        <w:rPr>
          <w:b/>
          <w:sz w:val="24"/>
          <w:u w:val="single"/>
        </w:rPr>
      </w:pPr>
    </w:p>
    <w:p w:rsidR="00D7712F" w:rsidRPr="00145CDD" w:rsidRDefault="00D7712F" w:rsidP="00D7712F">
      <w:pPr>
        <w:pBdr>
          <w:top w:val="single" w:sz="4" w:space="1" w:color="auto"/>
          <w:left w:val="single" w:sz="4" w:space="4" w:color="auto"/>
          <w:bottom w:val="single" w:sz="4" w:space="1" w:color="auto"/>
          <w:right w:val="single" w:sz="4" w:space="4" w:color="auto"/>
        </w:pBdr>
        <w:jc w:val="center"/>
        <w:rPr>
          <w:rFonts w:ascii="Tahoma" w:eastAsia="Calibri" w:hAnsi="Tahoma"/>
          <w:b/>
          <w:color w:val="44546A"/>
          <w:sz w:val="32"/>
          <w:szCs w:val="32"/>
        </w:rPr>
      </w:pPr>
      <w:r w:rsidRPr="00145CDD">
        <w:rPr>
          <w:rFonts w:ascii="Tahoma" w:eastAsia="Calibri" w:hAnsi="Tahoma"/>
          <w:b/>
          <w:color w:val="44546A"/>
          <w:sz w:val="32"/>
          <w:szCs w:val="32"/>
        </w:rPr>
        <w:lastRenderedPageBreak/>
        <w:t>Περίληψη Δράσης</w:t>
      </w:r>
    </w:p>
    <w:p w:rsidR="00D7712F" w:rsidRPr="003130EC" w:rsidRDefault="00D7712F" w:rsidP="00D7712F">
      <w:pPr>
        <w:pBdr>
          <w:top w:val="single" w:sz="4" w:space="1" w:color="auto"/>
          <w:left w:val="single" w:sz="4" w:space="4" w:color="auto"/>
          <w:bottom w:val="single" w:sz="4" w:space="1" w:color="auto"/>
          <w:right w:val="single" w:sz="4" w:space="4" w:color="auto"/>
        </w:pBdr>
        <w:jc w:val="center"/>
        <w:rPr>
          <w:b/>
          <w:color w:val="44546A"/>
          <w:sz w:val="32"/>
          <w:szCs w:val="32"/>
        </w:rPr>
      </w:pPr>
      <w:r w:rsidRPr="003130EC">
        <w:rPr>
          <w:b/>
          <w:color w:val="44546A"/>
          <w:sz w:val="32"/>
          <w:szCs w:val="32"/>
        </w:rPr>
        <w:t>«</w:t>
      </w:r>
      <w:r w:rsidRPr="00310948">
        <w:rPr>
          <w:rFonts w:ascii="Tahoma" w:eastAsia="Calibri" w:hAnsi="Tahoma"/>
          <w:b/>
          <w:color w:val="44546A"/>
          <w:sz w:val="32"/>
          <w:szCs w:val="32"/>
        </w:rPr>
        <w:t>ΕΠΙΧΟΡΗΓΗΣΗ ΕΠΙΧΕΙΡΗΣΕΩΝ ΕΣΤΙΑΣΗΣ ΓΙΑ ΤΗΝ ΠΡΟΜΗΘΕΙΑ ΘΕΡΜΑΝΤΙΚΩΝ ΣΩΜΑΤΩΝ ΕΞΩΤΕΡΙΚΟΥ ΧΩΡΟΥ</w:t>
      </w:r>
      <w:r w:rsidRPr="003130EC">
        <w:rPr>
          <w:b/>
          <w:color w:val="44546A"/>
          <w:sz w:val="32"/>
          <w:szCs w:val="32"/>
        </w:rPr>
        <w:t>»</w:t>
      </w:r>
    </w:p>
    <w:p w:rsidR="00D7712F" w:rsidRDefault="00D7712F" w:rsidP="00D7712F">
      <w:pPr>
        <w:pBdr>
          <w:top w:val="single" w:sz="4" w:space="1" w:color="auto"/>
          <w:left w:val="single" w:sz="4" w:space="4" w:color="auto"/>
          <w:bottom w:val="single" w:sz="4" w:space="1" w:color="auto"/>
          <w:right w:val="single" w:sz="4" w:space="4" w:color="auto"/>
        </w:pBdr>
        <w:rPr>
          <w:b/>
          <w:sz w:val="24"/>
          <w:u w:val="single"/>
        </w:rPr>
      </w:pPr>
    </w:p>
    <w:p w:rsidR="004E5516" w:rsidRPr="004E5516" w:rsidRDefault="004E5516" w:rsidP="004E5516">
      <w:pPr>
        <w:rPr>
          <w:b/>
          <w:sz w:val="24"/>
          <w:u w:val="single"/>
        </w:rPr>
      </w:pPr>
      <w:r w:rsidRPr="000C74E2">
        <w:rPr>
          <w:b/>
          <w:sz w:val="24"/>
          <w:u w:val="single"/>
        </w:rPr>
        <w:t>1.Στόχος Δράσης</w:t>
      </w:r>
    </w:p>
    <w:p w:rsidR="004E5516" w:rsidRDefault="004E5516" w:rsidP="004E5516">
      <w:pPr>
        <w:jc w:val="both"/>
      </w:pPr>
      <w:r w:rsidRPr="004E5516">
        <w:t>Η στήριξη των επιχειρήσεων εστίασης στην αντιμετώπιση των συνεπειών από τα μέτρα για τη μείωση της διασποράς του κορονοΐού, με την προμήθεια θερμαντικών συσκευών εξωτερικού χώρου, προκειμένου να λειτουργούν σε εξωτερικούς, νόμιμα χρησιμοποιούμενους χώρους, όπου ο καλύτερος αερισμός θα συμβάλει στην προστασία της δημόσιας υγείας.</w:t>
      </w:r>
    </w:p>
    <w:p w:rsidR="004E5516" w:rsidRDefault="004E5516" w:rsidP="004E5516">
      <w:pPr>
        <w:jc w:val="both"/>
      </w:pPr>
      <w:r w:rsidRPr="004E5516">
        <w:rPr>
          <w:b/>
          <w:bCs/>
        </w:rPr>
        <w:t>2. Προϋπολογισμός της Δράσης</w:t>
      </w:r>
    </w:p>
    <w:p w:rsidR="004E5516" w:rsidRPr="004E5516" w:rsidRDefault="004E5516" w:rsidP="004E5516">
      <w:pPr>
        <w:jc w:val="both"/>
      </w:pPr>
      <w:r w:rsidRPr="004E5516">
        <w:t xml:space="preserve">Ο Προϋπολογισμός Δημόσιας Δαπάνης της Δράσης ανέρχεται σε </w:t>
      </w:r>
      <w:r w:rsidRPr="004E5516">
        <w:rPr>
          <w:b/>
          <w:bCs/>
        </w:rPr>
        <w:t>60 εκατ. €</w:t>
      </w:r>
      <w:r w:rsidR="00D7712F">
        <w:rPr>
          <w:b/>
          <w:bCs/>
        </w:rPr>
        <w:t>.</w:t>
      </w:r>
      <w:r w:rsidRPr="004E5516">
        <w:rPr>
          <w:b/>
          <w:bCs/>
        </w:rPr>
        <w:t xml:space="preserve"> </w:t>
      </w:r>
    </w:p>
    <w:p w:rsidR="000A11F8" w:rsidRPr="004E5516" w:rsidRDefault="00145CDD" w:rsidP="004E5516">
      <w:pPr>
        <w:numPr>
          <w:ilvl w:val="0"/>
          <w:numId w:val="1"/>
        </w:numPr>
        <w:jc w:val="both"/>
      </w:pPr>
      <w:r w:rsidRPr="004E5516">
        <w:t xml:space="preserve">50 εκατ. € για Μικρομεσαίες Επιχειρήσεις </w:t>
      </w:r>
    </w:p>
    <w:p w:rsidR="000A11F8" w:rsidRPr="004E5516" w:rsidRDefault="00145CDD" w:rsidP="004E5516">
      <w:pPr>
        <w:numPr>
          <w:ilvl w:val="0"/>
          <w:numId w:val="1"/>
        </w:numPr>
        <w:jc w:val="both"/>
      </w:pPr>
      <w:r w:rsidRPr="004E5516">
        <w:t>10 εκατ. € για Μεγάλες Επιχειρήσεις</w:t>
      </w:r>
    </w:p>
    <w:p w:rsidR="004E5516" w:rsidRPr="004E5516" w:rsidRDefault="004E5516" w:rsidP="004E5516">
      <w:pPr>
        <w:jc w:val="both"/>
      </w:pPr>
      <w:r w:rsidRPr="004E5516">
        <w:t xml:space="preserve">Η Δράση συγχρηματοδοτείται από το </w:t>
      </w:r>
      <w:r w:rsidRPr="004E5516">
        <w:rPr>
          <w:b/>
          <w:bCs/>
        </w:rPr>
        <w:t>Ευρωπαϊκό Ταμείο Πε</w:t>
      </w:r>
      <w:r w:rsidR="00D7712F">
        <w:rPr>
          <w:b/>
          <w:bCs/>
        </w:rPr>
        <w:t>ριφερειακής Ανάπτυξης (ΕΤΠΑ) της Ευρωπαϊκής Ένωσης (ΕΕ) και Ε</w:t>
      </w:r>
      <w:r w:rsidRPr="004E5516">
        <w:rPr>
          <w:b/>
          <w:bCs/>
        </w:rPr>
        <w:t>θνικούς πόρους</w:t>
      </w:r>
      <w:r w:rsidR="00D7712F">
        <w:rPr>
          <w:b/>
          <w:bCs/>
        </w:rPr>
        <w:t>.</w:t>
      </w:r>
    </w:p>
    <w:p w:rsidR="00D7712F" w:rsidRDefault="00D7712F">
      <w:pPr>
        <w:rPr>
          <w:b/>
          <w:bCs/>
        </w:rPr>
      </w:pPr>
    </w:p>
    <w:p w:rsidR="007A6DDB" w:rsidRDefault="004E5516">
      <w:pPr>
        <w:rPr>
          <w:b/>
          <w:bCs/>
        </w:rPr>
      </w:pPr>
      <w:r w:rsidRPr="004E5516">
        <w:rPr>
          <w:b/>
          <w:bCs/>
        </w:rPr>
        <w:t>3. Θεσμικό Πλαίσιο</w:t>
      </w:r>
    </w:p>
    <w:p w:rsidR="004E5516" w:rsidRPr="004E5516" w:rsidRDefault="00D7712F" w:rsidP="004E5516">
      <w:r>
        <w:rPr>
          <w:b/>
          <w:bCs/>
        </w:rPr>
        <w:t>-</w:t>
      </w:r>
      <w:r w:rsidR="004E5516" w:rsidRPr="004E5516">
        <w:rPr>
          <w:b/>
          <w:bCs/>
        </w:rPr>
        <w:t>Κανονισμός (ΕΕ) αριθ. 1407/2013 (</w:t>
      </w:r>
      <w:r w:rsidR="004E5516" w:rsidRPr="004E5516">
        <w:rPr>
          <w:b/>
          <w:bCs/>
          <w:lang w:val="en-US"/>
        </w:rPr>
        <w:t>De</w:t>
      </w:r>
      <w:r w:rsidR="004E5516" w:rsidRPr="004E5516">
        <w:rPr>
          <w:b/>
          <w:bCs/>
        </w:rPr>
        <w:t xml:space="preserve"> </w:t>
      </w:r>
      <w:r w:rsidR="004E5516" w:rsidRPr="004E5516">
        <w:rPr>
          <w:b/>
          <w:bCs/>
          <w:lang w:val="en-US"/>
        </w:rPr>
        <w:t>Minimis</w:t>
      </w:r>
      <w:r w:rsidR="004E5516" w:rsidRPr="004E5516">
        <w:rPr>
          <w:b/>
          <w:bCs/>
        </w:rPr>
        <w:t>)</w:t>
      </w:r>
    </w:p>
    <w:p w:rsidR="004E5516" w:rsidRPr="004E5516" w:rsidRDefault="004E5516" w:rsidP="004E5516">
      <w:pPr>
        <w:jc w:val="both"/>
      </w:pPr>
      <w:r w:rsidRPr="004E5516">
        <w:t xml:space="preserve">Το συνολικό ποσό των ενισχύσεων </w:t>
      </w:r>
      <w:r w:rsidRPr="004E5516">
        <w:rPr>
          <w:lang w:val="en-US"/>
        </w:rPr>
        <w:t>de</w:t>
      </w:r>
      <w:r w:rsidRPr="004E5516">
        <w:t xml:space="preserve"> </w:t>
      </w:r>
      <w:r w:rsidRPr="004E5516">
        <w:rPr>
          <w:lang w:val="en-US"/>
        </w:rPr>
        <w:t>minimis</w:t>
      </w:r>
      <w:r w:rsidRPr="004E5516">
        <w:t xml:space="preserve"> (ήσσονος σημασίας) που έχει λάβει στο παρελθόν η δεδομένη επιχείρηση (ενιαία επιχείρηση), συμπεριλαμβανομένης της ενίσχυσης από την συγκεκριμένη Δράση, να μην υπερβαίνει το ποσό των 200.000€ μέσα σε μία τριετία (τρέχον ημερολογιακό έτος και τα δύο (2) προηγούμενα ημερολογιακά έτη) πριν από τον χρόνο χορήγησης (έκδοση απόφαση ένταξης Πράξης) του εννόμου δικαιώματος της ενίσχυσης.</w:t>
      </w:r>
    </w:p>
    <w:p w:rsidR="004E5516" w:rsidRPr="004E5516" w:rsidRDefault="00D7712F" w:rsidP="004E5516">
      <w:pPr>
        <w:jc w:val="both"/>
      </w:pPr>
      <w:r>
        <w:rPr>
          <w:b/>
          <w:bCs/>
        </w:rPr>
        <w:t>-</w:t>
      </w:r>
      <w:r w:rsidR="004E5516" w:rsidRPr="004E5516">
        <w:rPr>
          <w:b/>
          <w:bCs/>
        </w:rPr>
        <w:t>Σύσταση 2003/361/ΕΚ της Επιτροπής της 6ης Μαΐου 2003</w:t>
      </w:r>
    </w:p>
    <w:p w:rsidR="004E5516" w:rsidRPr="004E5516" w:rsidRDefault="004E5516" w:rsidP="004E5516">
      <w:pPr>
        <w:jc w:val="both"/>
      </w:pPr>
      <w:r w:rsidRPr="004E5516">
        <w:t>Ορισμός πολύ μικρών, μικρών και μεσαίων επιχειρήσεων.</w:t>
      </w:r>
    </w:p>
    <w:p w:rsidR="00D7712F" w:rsidRDefault="00D7712F">
      <w:pPr>
        <w:rPr>
          <w:b/>
          <w:bCs/>
        </w:rPr>
      </w:pPr>
    </w:p>
    <w:p w:rsidR="004E5516" w:rsidRDefault="00D7712F">
      <w:r>
        <w:rPr>
          <w:b/>
          <w:bCs/>
        </w:rPr>
        <w:t xml:space="preserve">4. Δικαιούχοι </w:t>
      </w:r>
    </w:p>
    <w:p w:rsidR="004E5516" w:rsidRPr="004E5516" w:rsidRDefault="004E5516" w:rsidP="00145CDD">
      <w:pPr>
        <w:jc w:val="both"/>
      </w:pPr>
      <w:r w:rsidRPr="004E5516">
        <w:t xml:space="preserve">Υφιστάμενες Μικρομεσαίες και Μεγάλες Επιχειρήσεις όπως αυτές ορίζονται στη Σύσταση της Επιτροπής 2003/361/ΕΚ οι οποίες  δραστηριοποιούνται στον κλάδο της εστίασης και διαθέτουν τους επιλέξιμους ΚΑΔ της επένδυσης.  </w:t>
      </w:r>
    </w:p>
    <w:p w:rsidR="004E5516" w:rsidRDefault="004E5516"/>
    <w:p w:rsidR="004E5516" w:rsidRDefault="004E5516">
      <w:pPr>
        <w:rPr>
          <w:b/>
          <w:bCs/>
        </w:rPr>
      </w:pPr>
      <w:r w:rsidRPr="004E5516">
        <w:rPr>
          <w:b/>
          <w:bCs/>
          <w:lang w:val="en-US"/>
        </w:rPr>
        <w:lastRenderedPageBreak/>
        <w:t>5</w:t>
      </w:r>
      <w:r w:rsidRPr="004E5516">
        <w:rPr>
          <w:b/>
          <w:bCs/>
        </w:rPr>
        <w:t>. Προϋποθέσεις συμμετοχής</w:t>
      </w:r>
    </w:p>
    <w:p w:rsidR="000A11F8" w:rsidRPr="004E5516" w:rsidRDefault="00145CDD" w:rsidP="00145CDD">
      <w:pPr>
        <w:numPr>
          <w:ilvl w:val="0"/>
          <w:numId w:val="2"/>
        </w:numPr>
        <w:jc w:val="both"/>
      </w:pPr>
      <w:r w:rsidRPr="004E5516">
        <w:t xml:space="preserve">να λειτουργούν νόμιμα στην ελληνική επικράτεια </w:t>
      </w:r>
    </w:p>
    <w:p w:rsidR="000A11F8" w:rsidRPr="004E5516" w:rsidRDefault="00145CDD" w:rsidP="00145CDD">
      <w:pPr>
        <w:numPr>
          <w:ilvl w:val="0"/>
          <w:numId w:val="2"/>
        </w:numPr>
        <w:jc w:val="both"/>
      </w:pPr>
      <w:r w:rsidRPr="004E5516">
        <w:t xml:space="preserve">να δραστηριοποιούνται στους επιλέξιμους (ΚΑΔ) που αναφέρονται στο Κεφάλαιο 5 «ΕΠΙΛΕΞΙΜΟΙ ΤΟΜΕΙΣ ΔΡΑΣΤΗΡΙΟΤΗΤΑΣ» της Πρόσκλησης  </w:t>
      </w:r>
    </w:p>
    <w:p w:rsidR="000A11F8" w:rsidRPr="004E5516" w:rsidRDefault="00145CDD" w:rsidP="00145CDD">
      <w:pPr>
        <w:numPr>
          <w:ilvl w:val="0"/>
          <w:numId w:val="2"/>
        </w:numPr>
        <w:jc w:val="both"/>
      </w:pPr>
      <w:r w:rsidRPr="004E5516">
        <w:t>να μην συντρέχουν λόγοι αποκλεισμού της παραγράφου 1 του άρθρου 40 του ν. 4488/2017 (Α΄137) (επιβολή προστίμων για παραβάσεις της εργατικής νομοθεσίας)</w:t>
      </w:r>
    </w:p>
    <w:p w:rsidR="000A11F8" w:rsidRPr="004E5516" w:rsidRDefault="00145CDD" w:rsidP="00145CDD">
      <w:pPr>
        <w:numPr>
          <w:ilvl w:val="0"/>
          <w:numId w:val="2"/>
        </w:numPr>
        <w:jc w:val="both"/>
      </w:pPr>
      <w:r w:rsidRPr="004E5516">
        <w:t>να μην εκκρεμεί σε βάρος τους εντολή ανάκτησης προηγούμενης παράνομης και ασύμβατης κρατικής ενίσχυσης βάση απόφασης ΕΕ ή ΔΕΕ.</w:t>
      </w:r>
    </w:p>
    <w:p w:rsidR="004E5516" w:rsidRDefault="004E5516" w:rsidP="00145CDD">
      <w:pPr>
        <w:numPr>
          <w:ilvl w:val="0"/>
          <w:numId w:val="2"/>
        </w:numPr>
        <w:jc w:val="both"/>
      </w:pPr>
      <w:r w:rsidRPr="004E5516">
        <w:t xml:space="preserve">Δεν έχουν δικαίωμα υποβολής πρότασης οι εξωχώριες εταιρείες, καθώς και οι θυγατρικές εταιρείες Δημοσίων Οργανισμών. </w:t>
      </w:r>
    </w:p>
    <w:p w:rsidR="000A11F8" w:rsidRPr="004E5516" w:rsidRDefault="00145CDD" w:rsidP="00145CDD">
      <w:pPr>
        <w:numPr>
          <w:ilvl w:val="0"/>
          <w:numId w:val="3"/>
        </w:numPr>
        <w:jc w:val="both"/>
      </w:pPr>
      <w:r w:rsidRPr="004E5516">
        <w:rPr>
          <w:lang w:val="en-US"/>
        </w:rPr>
        <w:t>o</w:t>
      </w:r>
      <w:r w:rsidRPr="004E5516">
        <w:t>ι δαπάνες στην αίτηση χρηματοδότησης δεν έχουν χρηματοδοτηθεί, ενταχθεί και δεν θα υποβληθούν σε άλλο πρόγραμμα που χρηματοδοτείται από εθνικούς ή κοινοτικούς πόρους</w:t>
      </w:r>
    </w:p>
    <w:p w:rsidR="000A11F8" w:rsidRPr="004E5516" w:rsidRDefault="00145CDD" w:rsidP="00145CDD">
      <w:pPr>
        <w:numPr>
          <w:ilvl w:val="0"/>
          <w:numId w:val="3"/>
        </w:numPr>
        <w:jc w:val="both"/>
      </w:pPr>
      <w:r w:rsidRPr="004E5516">
        <w:t xml:space="preserve">το συνολικό ποσό των ενισχύσεων ήσσονος σημασίας που έχει λάβει στο παρελθόν η επιχείρηση, συμπεριλαμβανομένης της ενίσχυσης από τη Δράση, να μην υπερβαίνει τα 200.000 € (ή 100.000 ευρώ για τον τομέα των οδικών μεταφορών) μέσα σε μία τριετία. </w:t>
      </w:r>
    </w:p>
    <w:p w:rsidR="000A11F8" w:rsidRPr="004E5516" w:rsidRDefault="00145CDD" w:rsidP="00145CDD">
      <w:pPr>
        <w:numPr>
          <w:ilvl w:val="0"/>
          <w:numId w:val="3"/>
        </w:numPr>
        <w:jc w:val="both"/>
      </w:pPr>
      <w:r w:rsidRPr="004E5516">
        <w:t>να μην συντρέχουν λόγοι αποκλεισμού του άρθρου 40 του Ν. 4488/2017 (Α137/13.09.2017)</w:t>
      </w:r>
    </w:p>
    <w:p w:rsidR="000A11F8" w:rsidRPr="004E5516" w:rsidRDefault="00145CDD" w:rsidP="00145CDD">
      <w:pPr>
        <w:numPr>
          <w:ilvl w:val="0"/>
          <w:numId w:val="3"/>
        </w:numPr>
        <w:jc w:val="both"/>
      </w:pPr>
      <w:r w:rsidRPr="004E5516">
        <w:t xml:space="preserve">να υποβάλλουν μια και μοναδική αίτηση χρηματοδότησης ανά ΑΦΜ, για το σύνολο εγκαταστάσεων εστίασης </w:t>
      </w:r>
    </w:p>
    <w:p w:rsidR="00D7712F" w:rsidRDefault="00D7712F">
      <w:pPr>
        <w:rPr>
          <w:b/>
          <w:bCs/>
          <w:lang w:val="en-US"/>
        </w:rPr>
      </w:pPr>
    </w:p>
    <w:p w:rsidR="004E5516" w:rsidRDefault="004E5516">
      <w:pPr>
        <w:rPr>
          <w:b/>
          <w:bCs/>
        </w:rPr>
      </w:pPr>
      <w:r w:rsidRPr="004E5516">
        <w:rPr>
          <w:b/>
          <w:bCs/>
          <w:lang w:val="en-US"/>
        </w:rPr>
        <w:t>6</w:t>
      </w:r>
      <w:r w:rsidRPr="004E5516">
        <w:rPr>
          <w:b/>
          <w:bCs/>
        </w:rPr>
        <w:t>. Επιλέξιμες Δαπάνες</w:t>
      </w:r>
    </w:p>
    <w:p w:rsidR="000A11F8" w:rsidRPr="004E5516" w:rsidRDefault="00145CDD" w:rsidP="00145CDD">
      <w:pPr>
        <w:numPr>
          <w:ilvl w:val="0"/>
          <w:numId w:val="5"/>
        </w:numPr>
        <w:jc w:val="both"/>
      </w:pPr>
      <w:r w:rsidRPr="004E5516">
        <w:t>Αγορά θερμαντικών σωμάτων εξωτερικού χώρου οποιουδήποτε τύπου (υγραερίου, ηλεκτρικά, φυσικού αερίου, πάνελ υπερύθρων, αλογόνου ή άλλο), αυτόνομα/μεμονωμένα, ή μέρος κινητού εξοπλισμού που φέρει ενσωματωμένο θερμαντικό σώμα εξωτερικού χώρου, τα οποία είναι/ήταν καινούργια και αμεταχείριστα κατά την αγορά τους.</w:t>
      </w:r>
    </w:p>
    <w:p w:rsidR="004E5516" w:rsidRPr="004E5516" w:rsidRDefault="004E5516" w:rsidP="00145CDD">
      <w:pPr>
        <w:numPr>
          <w:ilvl w:val="0"/>
          <w:numId w:val="5"/>
        </w:numPr>
        <w:jc w:val="both"/>
      </w:pPr>
      <w:r w:rsidRPr="004E5516">
        <w:t xml:space="preserve">Η Δράση προβλέπει την επιχορήγηση της προμήθειας </w:t>
      </w:r>
      <w:r w:rsidRPr="004E5516">
        <w:rPr>
          <w:b/>
          <w:bCs/>
        </w:rPr>
        <w:t xml:space="preserve">ενός θερμαντικού σώματος ανά δέκα </w:t>
      </w:r>
      <w:r w:rsidRPr="004E5516">
        <w:t xml:space="preserve">(10) τετραγωνικά μέτρα (τ.μ.) </w:t>
      </w:r>
    </w:p>
    <w:p w:rsidR="000A11F8" w:rsidRPr="004E5516" w:rsidRDefault="00145CDD" w:rsidP="00145CDD">
      <w:pPr>
        <w:numPr>
          <w:ilvl w:val="0"/>
          <w:numId w:val="5"/>
        </w:numPr>
        <w:jc w:val="both"/>
      </w:pPr>
      <w:r w:rsidRPr="004E5516">
        <w:t xml:space="preserve">Προμήθεια θερμαντικών σωμάτων που πραγματοποιήθηκε από την 01.02.2020 </w:t>
      </w:r>
    </w:p>
    <w:p w:rsidR="000A11F8" w:rsidRDefault="00145CDD" w:rsidP="00145CDD">
      <w:pPr>
        <w:numPr>
          <w:ilvl w:val="0"/>
          <w:numId w:val="5"/>
        </w:numPr>
        <w:jc w:val="both"/>
      </w:pPr>
      <w:r w:rsidRPr="004E5516">
        <w:t>Πριν από την υποβολή της Αίτησης Χρηματοδότησης ο λήπτης της ενίσχυσης πρέπει να έχει ήδη προχωρήσει στην προμήθεια, αποπληρωμή των θερμαντικών σωμάτων εξωτερικού χώρου καθώς και στη σχετική εγγραφή στα λογιστικά βιβλία της επιχείρησης.</w:t>
      </w:r>
    </w:p>
    <w:p w:rsidR="00D7712F" w:rsidRDefault="00D7712F" w:rsidP="00D7712F">
      <w:pPr>
        <w:jc w:val="both"/>
      </w:pPr>
    </w:p>
    <w:p w:rsidR="00D7712F" w:rsidRDefault="00D7712F" w:rsidP="00D7712F">
      <w:pPr>
        <w:jc w:val="both"/>
      </w:pPr>
    </w:p>
    <w:p w:rsidR="00D7712F" w:rsidRDefault="00D7712F" w:rsidP="00D7712F">
      <w:pPr>
        <w:jc w:val="both"/>
      </w:pPr>
    </w:p>
    <w:p w:rsidR="004E5516" w:rsidRDefault="004E5516">
      <w:pPr>
        <w:rPr>
          <w:b/>
          <w:bCs/>
        </w:rPr>
      </w:pPr>
      <w:r w:rsidRPr="00D7712F">
        <w:rPr>
          <w:b/>
          <w:bCs/>
        </w:rPr>
        <w:lastRenderedPageBreak/>
        <w:t>7</w:t>
      </w:r>
      <w:r w:rsidRPr="004E5516">
        <w:rPr>
          <w:b/>
          <w:bCs/>
        </w:rPr>
        <w:t>. Προϋπολογισμός Αιτήσεων χρηματοδότησης και επιδότηση</w:t>
      </w:r>
    </w:p>
    <w:p w:rsidR="000A11F8" w:rsidRPr="004E5516" w:rsidRDefault="00145CDD" w:rsidP="004E5516">
      <w:pPr>
        <w:numPr>
          <w:ilvl w:val="0"/>
          <w:numId w:val="6"/>
        </w:numPr>
      </w:pPr>
      <w:r w:rsidRPr="004E5516">
        <w:t xml:space="preserve">έως </w:t>
      </w:r>
      <w:r w:rsidRPr="004E5516">
        <w:rPr>
          <w:b/>
          <w:bCs/>
        </w:rPr>
        <w:t>5.000 €</w:t>
      </w:r>
      <w:r w:rsidRPr="004E5516">
        <w:t xml:space="preserve"> ανά χώρο εστίασης</w:t>
      </w:r>
    </w:p>
    <w:p w:rsidR="000A11F8" w:rsidRPr="004E5516" w:rsidRDefault="00145CDD" w:rsidP="004E5516">
      <w:pPr>
        <w:numPr>
          <w:ilvl w:val="0"/>
          <w:numId w:val="6"/>
        </w:numPr>
      </w:pPr>
      <w:r w:rsidRPr="004E5516">
        <w:t>μια αίτηση ανά ΑΦΜ, για το σύνολο εγκαταστάσεων εστίασης</w:t>
      </w:r>
    </w:p>
    <w:p w:rsidR="000A11F8" w:rsidRPr="004E5516" w:rsidRDefault="00D7712F" w:rsidP="004E5516">
      <w:pPr>
        <w:numPr>
          <w:ilvl w:val="0"/>
          <w:numId w:val="6"/>
        </w:numPr>
      </w:pPr>
      <w:r>
        <w:t xml:space="preserve">ισχύει ο </w:t>
      </w:r>
      <w:r w:rsidR="00145CDD" w:rsidRPr="004E5516">
        <w:t xml:space="preserve">κανόνας </w:t>
      </w:r>
      <w:r>
        <w:rPr>
          <w:lang w:val="en-US"/>
        </w:rPr>
        <w:t>D</w:t>
      </w:r>
      <w:r w:rsidR="00145CDD" w:rsidRPr="004E5516">
        <w:rPr>
          <w:lang w:val="en-US"/>
        </w:rPr>
        <w:t>eminimis</w:t>
      </w:r>
    </w:p>
    <w:p w:rsidR="004E5516" w:rsidRDefault="004E5516"/>
    <w:p w:rsidR="004E5516" w:rsidRPr="004E5516" w:rsidRDefault="004E5516" w:rsidP="004E5516">
      <w:r w:rsidRPr="004E5516">
        <w:rPr>
          <w:b/>
          <w:bCs/>
          <w:lang w:val="en-US"/>
        </w:rPr>
        <w:t>8</w:t>
      </w:r>
      <w:r w:rsidRPr="004E5516">
        <w:rPr>
          <w:b/>
          <w:bCs/>
        </w:rPr>
        <w:t>. Χρονοδιάγραμμα επιχορήγησης δαπανών</w:t>
      </w:r>
    </w:p>
    <w:p w:rsidR="004E5516" w:rsidRPr="004E5516" w:rsidRDefault="004E5516" w:rsidP="004E5516">
      <w:pPr>
        <w:jc w:val="both"/>
      </w:pPr>
      <w:r w:rsidRPr="004E5516">
        <w:t xml:space="preserve">Υπάρχει αναδρομική ισχύ, μπορούν να χρηματοδοτηθούν προμήθειες   θερμαντικών σωμάτων από 01.02.2020  μέχρι και την λήξη της Δράσης. </w:t>
      </w:r>
    </w:p>
    <w:p w:rsidR="00206C64" w:rsidRDefault="00206C64">
      <w:pPr>
        <w:rPr>
          <w:b/>
          <w:bCs/>
        </w:rPr>
      </w:pPr>
    </w:p>
    <w:p w:rsidR="004E5516" w:rsidRDefault="004E5516">
      <w:pPr>
        <w:rPr>
          <w:b/>
          <w:bCs/>
        </w:rPr>
      </w:pPr>
      <w:r w:rsidRPr="004E5516">
        <w:rPr>
          <w:b/>
          <w:bCs/>
        </w:rPr>
        <w:t>9. Χρηματοδοτικό σχήμα</w:t>
      </w:r>
    </w:p>
    <w:p w:rsidR="004E5516" w:rsidRDefault="004E5516" w:rsidP="00145CDD">
      <w:pPr>
        <w:numPr>
          <w:ilvl w:val="0"/>
          <w:numId w:val="5"/>
        </w:numPr>
        <w:jc w:val="both"/>
      </w:pPr>
      <w:r w:rsidRPr="004E5516">
        <w:t xml:space="preserve">Μέχρι </w:t>
      </w:r>
      <w:r w:rsidRPr="004E5516">
        <w:rPr>
          <w:b/>
          <w:bCs/>
        </w:rPr>
        <w:t xml:space="preserve">100 € </w:t>
      </w:r>
      <w:r>
        <w:t>ανά θερμαντικό σώμα.</w:t>
      </w:r>
    </w:p>
    <w:p w:rsidR="004E5516" w:rsidRDefault="004E5516" w:rsidP="00145CDD">
      <w:pPr>
        <w:numPr>
          <w:ilvl w:val="0"/>
          <w:numId w:val="5"/>
        </w:numPr>
        <w:jc w:val="both"/>
      </w:pPr>
      <w:r w:rsidRPr="004E5516">
        <w:t>Η ενίσχυση που καταβάλλεται στο πλαίσιο της Δράσης της παρούσας πρόσκλησης είναι ακατάσχετη, αφορολόγητη, δεν υπόκειται σε παρακράτηση και δεν συμψηφίζεται με οποιαδήποτε οφειλή.</w:t>
      </w:r>
    </w:p>
    <w:p w:rsidR="004E5516" w:rsidRDefault="004E5516" w:rsidP="004E5516"/>
    <w:p w:rsidR="004E5516" w:rsidRPr="004E5516" w:rsidRDefault="004E5516" w:rsidP="004E5516">
      <w:r w:rsidRPr="00E024EC">
        <w:rPr>
          <w:b/>
          <w:bCs/>
        </w:rPr>
        <w:t>1</w:t>
      </w:r>
      <w:r w:rsidRPr="004E5516">
        <w:rPr>
          <w:b/>
          <w:bCs/>
        </w:rPr>
        <w:t>0. Χρονοδιάγραμμα Δράσης</w:t>
      </w:r>
    </w:p>
    <w:p w:rsidR="004E5516" w:rsidRPr="004E5516" w:rsidRDefault="004E5516" w:rsidP="004E5516">
      <w:pPr>
        <w:jc w:val="both"/>
      </w:pPr>
      <w:r w:rsidRPr="004E5516">
        <w:t xml:space="preserve">Η πρόσκληση θα παραμείνει ανοιχτή από </w:t>
      </w:r>
      <w:r w:rsidR="00E024EC" w:rsidRPr="00EC667A">
        <w:rPr>
          <w:b/>
        </w:rPr>
        <w:t>04/01/2021 και ώρα 15</w:t>
      </w:r>
      <w:r w:rsidRPr="00EC667A">
        <w:rPr>
          <w:b/>
        </w:rPr>
        <w:t>.00</w:t>
      </w:r>
      <w:r w:rsidRPr="004E5516">
        <w:t xml:space="preserve"> και έως την </w:t>
      </w:r>
      <w:r w:rsidR="00E024EC" w:rsidRPr="00EC667A">
        <w:rPr>
          <w:b/>
        </w:rPr>
        <w:t>04/03/2021</w:t>
      </w:r>
      <w:r w:rsidRPr="00EC667A">
        <w:rPr>
          <w:b/>
        </w:rPr>
        <w:t xml:space="preserve"> ώρα 17:00</w:t>
      </w:r>
      <w:r w:rsidRPr="004E5516">
        <w:t xml:space="preserve">. Μετά τη λήξη της ημερομηνίας και ώρας της ηλεκτρονικής υποβολής των Αιτήσεων Χρηματοδότησης, δεν γίνεται αποδεκτή καμία υποβολή Αίτησης. </w:t>
      </w:r>
    </w:p>
    <w:p w:rsidR="004E5516" w:rsidRDefault="004E5516" w:rsidP="004E5516"/>
    <w:p w:rsidR="004E5516" w:rsidRDefault="004E5516" w:rsidP="004E5516">
      <w:pPr>
        <w:rPr>
          <w:b/>
          <w:bCs/>
        </w:rPr>
      </w:pPr>
      <w:r w:rsidRPr="004E5516">
        <w:rPr>
          <w:b/>
          <w:bCs/>
          <w:lang w:val="en-US"/>
        </w:rPr>
        <w:t>1</w:t>
      </w:r>
      <w:r w:rsidRPr="004E5516">
        <w:rPr>
          <w:b/>
          <w:bCs/>
        </w:rPr>
        <w:t>1. Υποβολή αίτησης</w:t>
      </w:r>
    </w:p>
    <w:p w:rsidR="000A11F8" w:rsidRPr="004E5516" w:rsidRDefault="00145CDD" w:rsidP="00145CDD">
      <w:pPr>
        <w:numPr>
          <w:ilvl w:val="0"/>
          <w:numId w:val="7"/>
        </w:numPr>
        <w:jc w:val="both"/>
      </w:pPr>
      <w:r w:rsidRPr="004E5516">
        <w:t xml:space="preserve">Η Αίτηση Χρηματοδότησης υποβάλλεται </w:t>
      </w:r>
      <w:r w:rsidRPr="004E5516">
        <w:rPr>
          <w:b/>
          <w:bCs/>
        </w:rPr>
        <w:t>ηλεκτρονικά</w:t>
      </w:r>
      <w:r w:rsidRPr="004E5516">
        <w:t xml:space="preserve"> στη διεύθυνση </w:t>
      </w:r>
      <w:hyperlink r:id="rId10" w:history="1">
        <w:r w:rsidRPr="004E5516">
          <w:rPr>
            <w:rStyle w:val="-"/>
            <w:lang w:val="en-GB"/>
          </w:rPr>
          <w:t>https</w:t>
        </w:r>
      </w:hyperlink>
      <w:hyperlink r:id="rId11" w:history="1">
        <w:r w:rsidRPr="004E5516">
          <w:rPr>
            <w:rStyle w:val="-"/>
          </w:rPr>
          <w:t>://</w:t>
        </w:r>
      </w:hyperlink>
      <w:hyperlink r:id="rId12" w:history="1">
        <w:r w:rsidRPr="004E5516">
          <w:rPr>
            <w:rStyle w:val="-"/>
          </w:rPr>
          <w:t>heating-devices</w:t>
        </w:r>
      </w:hyperlink>
      <w:hyperlink r:id="rId13" w:history="1">
        <w:r w:rsidRPr="004E5516">
          <w:rPr>
            <w:rStyle w:val="-"/>
          </w:rPr>
          <w:t>.</w:t>
        </w:r>
      </w:hyperlink>
      <w:hyperlink r:id="rId14" w:history="1">
        <w:r w:rsidRPr="004E5516">
          <w:rPr>
            <w:rStyle w:val="-"/>
            <w:lang w:val="en-GB"/>
          </w:rPr>
          <w:t>gov</w:t>
        </w:r>
      </w:hyperlink>
      <w:hyperlink r:id="rId15" w:history="1">
        <w:r w:rsidRPr="004E5516">
          <w:rPr>
            <w:rStyle w:val="-"/>
          </w:rPr>
          <w:t>.</w:t>
        </w:r>
      </w:hyperlink>
      <w:hyperlink r:id="rId16" w:history="1">
        <w:r w:rsidRPr="004E5516">
          <w:rPr>
            <w:rStyle w:val="-"/>
          </w:rPr>
          <w:t>gr</w:t>
        </w:r>
      </w:hyperlink>
      <w:r w:rsidRPr="004E5516">
        <w:rPr>
          <w:lang w:val="en-US"/>
        </w:rPr>
        <w:t xml:space="preserve"> </w:t>
      </w:r>
    </w:p>
    <w:p w:rsidR="000A11F8" w:rsidRPr="004E5516" w:rsidRDefault="00145CDD" w:rsidP="00145CDD">
      <w:pPr>
        <w:numPr>
          <w:ilvl w:val="0"/>
          <w:numId w:val="7"/>
        </w:numPr>
        <w:jc w:val="both"/>
      </w:pPr>
      <w:r w:rsidRPr="004E5516">
        <w:t>Ο δυνητικός λήπτης υποβάλλει μία Αίτηση Χρηματοδότησης ανά ΑΦΜ</w:t>
      </w:r>
    </w:p>
    <w:p w:rsidR="000A11F8" w:rsidRPr="004E5516" w:rsidRDefault="00145CDD" w:rsidP="00145CDD">
      <w:pPr>
        <w:numPr>
          <w:ilvl w:val="0"/>
          <w:numId w:val="7"/>
        </w:numPr>
        <w:jc w:val="both"/>
      </w:pPr>
      <w:r w:rsidRPr="004E5516">
        <w:t xml:space="preserve">Η προμήθεια των σωμάτων θα πρέπει να έχει πραγματοποιηθεί πριν από την υποβολή της Αίτησης Χρηματοδότησης  </w:t>
      </w:r>
    </w:p>
    <w:p w:rsidR="000A11F8" w:rsidRPr="004E5516" w:rsidRDefault="00145CDD" w:rsidP="00145CDD">
      <w:pPr>
        <w:numPr>
          <w:ilvl w:val="0"/>
          <w:numId w:val="7"/>
        </w:numPr>
        <w:jc w:val="both"/>
      </w:pPr>
      <w:r w:rsidRPr="004E5516">
        <w:t xml:space="preserve">δικαιολογητικά και στοιχεία του ΠΑΡΑΡΤΗΜΑΤΟΣ V </w:t>
      </w:r>
    </w:p>
    <w:p w:rsidR="004E5516" w:rsidRPr="00D7712F" w:rsidRDefault="004E5516" w:rsidP="00145CDD">
      <w:pPr>
        <w:jc w:val="both"/>
      </w:pPr>
      <w:r w:rsidRPr="004E5516">
        <w:rPr>
          <w:b/>
          <w:bCs/>
        </w:rPr>
        <w:t>Προσοχή το μέγεθος κάθε δικαιολογητικού που υποβάλλεται δεν θα πρέπει να ξεπερνάει τα 8ΜΒ</w:t>
      </w:r>
      <w:r w:rsidR="00D7712F" w:rsidRPr="00D7712F">
        <w:rPr>
          <w:b/>
          <w:bCs/>
        </w:rPr>
        <w:t>.</w:t>
      </w:r>
    </w:p>
    <w:p w:rsidR="004E5516" w:rsidRDefault="004E5516" w:rsidP="004E5516">
      <w:pPr>
        <w:rPr>
          <w:b/>
          <w:bCs/>
        </w:rPr>
      </w:pPr>
      <w:r w:rsidRPr="004E5516">
        <w:rPr>
          <w:b/>
          <w:bCs/>
        </w:rPr>
        <w:t>12. Αξιολόγηση Αιτήσεων χρηματοδότησης</w:t>
      </w:r>
    </w:p>
    <w:p w:rsidR="004E5516" w:rsidRPr="004E5516" w:rsidRDefault="004E5516" w:rsidP="00145CDD">
      <w:pPr>
        <w:jc w:val="both"/>
      </w:pPr>
      <w:r w:rsidRPr="004E5516">
        <w:t xml:space="preserve">Οι αιτήσεις χρηματοδότησης θα αξιολογηθούν με σειρά προτεραιότητας, σύμφωνα με την ημερομηνία ηλεκτρονικής υποβολής  της αίτησης: </w:t>
      </w:r>
    </w:p>
    <w:p w:rsidR="000A11F8" w:rsidRPr="004E5516" w:rsidRDefault="00145CDD" w:rsidP="00261714">
      <w:pPr>
        <w:pStyle w:val="a3"/>
        <w:numPr>
          <w:ilvl w:val="0"/>
          <w:numId w:val="8"/>
        </w:numPr>
        <w:jc w:val="both"/>
      </w:pPr>
      <w:r w:rsidRPr="004E5516">
        <w:rPr>
          <w:b/>
          <w:bCs/>
        </w:rPr>
        <w:t xml:space="preserve">1o Βήμα : </w:t>
      </w:r>
      <w:r w:rsidR="00261714" w:rsidRPr="00C72C78">
        <w:t>Ο ΕΦΕΠΑΕ προβαίνει σε έλεγχο</w:t>
      </w:r>
      <w:r w:rsidR="00261714">
        <w:t xml:space="preserve"> της αίτησης και</w:t>
      </w:r>
      <w:r w:rsidR="00261714" w:rsidRPr="00C72C78">
        <w:t xml:space="preserve"> της ύπαρξης του υποβαλλόμενου Δικα</w:t>
      </w:r>
      <w:r w:rsidR="00261714">
        <w:t>ιολογητικού Νόμιμης Λειτουργίας.</w:t>
      </w:r>
      <w:r w:rsidR="00261714" w:rsidRPr="00C72C78">
        <w:t xml:space="preserve"> </w:t>
      </w:r>
    </w:p>
    <w:p w:rsidR="000A11F8" w:rsidRPr="004E5516" w:rsidRDefault="00145CDD" w:rsidP="00145CDD">
      <w:pPr>
        <w:numPr>
          <w:ilvl w:val="0"/>
          <w:numId w:val="8"/>
        </w:numPr>
        <w:jc w:val="both"/>
      </w:pPr>
      <w:r w:rsidRPr="004E5516">
        <w:rPr>
          <w:b/>
          <w:bCs/>
        </w:rPr>
        <w:lastRenderedPageBreak/>
        <w:t xml:space="preserve">2ο Βήμα: </w:t>
      </w:r>
      <w:r w:rsidRPr="004E5516">
        <w:t>Ενημέρωση από τη πλατφόρμα για την αποδοχή της αίτησης</w:t>
      </w:r>
    </w:p>
    <w:p w:rsidR="000A11F8" w:rsidRPr="004E5516" w:rsidRDefault="00145CDD" w:rsidP="00145CDD">
      <w:pPr>
        <w:numPr>
          <w:ilvl w:val="0"/>
          <w:numId w:val="8"/>
        </w:numPr>
        <w:jc w:val="both"/>
      </w:pPr>
      <w:r w:rsidRPr="004E5516">
        <w:rPr>
          <w:b/>
          <w:bCs/>
        </w:rPr>
        <w:t xml:space="preserve">3ο Βήμα: </w:t>
      </w:r>
      <w:r w:rsidRPr="004E5516">
        <w:t>Μεταφορά του ποσού σε τραπεζικό λογαριασμό</w:t>
      </w:r>
    </w:p>
    <w:p w:rsidR="004E5516" w:rsidRDefault="004E5516" w:rsidP="004E5516"/>
    <w:p w:rsidR="004E5516" w:rsidRDefault="004E5516" w:rsidP="004E5516">
      <w:pPr>
        <w:rPr>
          <w:b/>
          <w:bCs/>
        </w:rPr>
      </w:pPr>
      <w:r w:rsidRPr="004E5516">
        <w:rPr>
          <w:b/>
          <w:bCs/>
        </w:rPr>
        <w:t xml:space="preserve">13. Επαλήθευση </w:t>
      </w:r>
      <w:r>
        <w:rPr>
          <w:b/>
          <w:bCs/>
        </w:rPr>
        <w:t>–</w:t>
      </w:r>
      <w:r w:rsidRPr="004E5516">
        <w:rPr>
          <w:b/>
          <w:bCs/>
        </w:rPr>
        <w:t xml:space="preserve"> Πιστοποίηση</w:t>
      </w:r>
    </w:p>
    <w:p w:rsidR="00EC667A" w:rsidRDefault="00EC667A" w:rsidP="00D7712F">
      <w:pPr>
        <w:numPr>
          <w:ilvl w:val="0"/>
          <w:numId w:val="9"/>
        </w:numPr>
        <w:tabs>
          <w:tab w:val="clear" w:pos="720"/>
          <w:tab w:val="num" w:pos="284"/>
        </w:tabs>
        <w:ind w:left="284" w:hanging="284"/>
        <w:jc w:val="both"/>
      </w:pPr>
      <w:r w:rsidRPr="0005780C">
        <w:rPr>
          <w:bCs/>
        </w:rPr>
        <w:t>Μετά την ολοκλήρωση των καταβολών ο ΕΦΕΠΑΕ προβαίνει σε διοικητικό έλεγχο ορθότητας  κάθε αίτησης για την οποία έχει καταβληθεί ποσό επιχορήγησης.</w:t>
      </w:r>
    </w:p>
    <w:p w:rsidR="00772CC5" w:rsidRPr="00772CC5" w:rsidRDefault="00772CC5" w:rsidP="00D7712F">
      <w:pPr>
        <w:numPr>
          <w:ilvl w:val="0"/>
          <w:numId w:val="9"/>
        </w:numPr>
        <w:tabs>
          <w:tab w:val="clear" w:pos="720"/>
          <w:tab w:val="num" w:pos="284"/>
        </w:tabs>
        <w:ind w:hanging="720"/>
        <w:jc w:val="both"/>
        <w:rPr>
          <w:bCs/>
        </w:rPr>
      </w:pPr>
      <w:r w:rsidRPr="00772CC5">
        <w:rPr>
          <w:bCs/>
        </w:rPr>
        <w:t xml:space="preserve">Ανάκτηση μπορεί να γίνει στις ακόλουθες περιπτώσεις: </w:t>
      </w:r>
    </w:p>
    <w:p w:rsidR="00772CC5" w:rsidRPr="00772CC5" w:rsidRDefault="00D7712F" w:rsidP="00D7712F">
      <w:pPr>
        <w:tabs>
          <w:tab w:val="num" w:pos="284"/>
        </w:tabs>
        <w:ind w:left="284" w:hanging="284"/>
        <w:jc w:val="both"/>
        <w:rPr>
          <w:bCs/>
        </w:rPr>
      </w:pPr>
      <w:r>
        <w:rPr>
          <w:bCs/>
        </w:rPr>
        <w:t xml:space="preserve">      </w:t>
      </w:r>
      <w:r w:rsidR="00772CC5" w:rsidRPr="00772CC5">
        <w:rPr>
          <w:bCs/>
        </w:rPr>
        <w:t xml:space="preserve">- Καταβολή ποσού ενίσχυσης που αντιστοιχεί σε περισσότερα θερμαντικά σώματα από αυτά που αντιστοιχούν στα πραγματικά αδειοδοτημένα τ.μ εξωτερικού χώρου, λόγω λανθασμένης εγγραφής τ.μ. στην ηλεκτρονική υποβολή. Στην περίπτωση αυτή ανακτάται μόνο το υπερβάλλον ποσό της ενίσχυσης. </w:t>
      </w:r>
    </w:p>
    <w:p w:rsidR="00772CC5" w:rsidRPr="00772CC5" w:rsidRDefault="00D7712F" w:rsidP="00D7712F">
      <w:pPr>
        <w:tabs>
          <w:tab w:val="num" w:pos="284"/>
        </w:tabs>
        <w:ind w:left="284" w:hanging="284"/>
        <w:jc w:val="both"/>
        <w:rPr>
          <w:bCs/>
        </w:rPr>
      </w:pPr>
      <w:r>
        <w:rPr>
          <w:bCs/>
        </w:rPr>
        <w:t xml:space="preserve">    </w:t>
      </w:r>
      <w:r w:rsidR="00772CC5" w:rsidRPr="00772CC5">
        <w:rPr>
          <w:bCs/>
        </w:rPr>
        <w:t xml:space="preserve">- Ελλιπή στοιχεία στα υποβληθέντα παραστατικά της προμήθειας των θερμαντικών σωμάτων εξωτερικού χώρου. </w:t>
      </w:r>
    </w:p>
    <w:p w:rsidR="00772CC5" w:rsidRPr="00772CC5" w:rsidRDefault="00D7712F" w:rsidP="00D7712F">
      <w:pPr>
        <w:tabs>
          <w:tab w:val="num" w:pos="284"/>
        </w:tabs>
        <w:ind w:left="284" w:hanging="284"/>
        <w:jc w:val="both"/>
        <w:rPr>
          <w:bCs/>
        </w:rPr>
      </w:pPr>
      <w:r>
        <w:rPr>
          <w:bCs/>
        </w:rPr>
        <w:t xml:space="preserve">     </w:t>
      </w:r>
      <w:r w:rsidR="00772CC5" w:rsidRPr="00772CC5">
        <w:rPr>
          <w:bCs/>
        </w:rPr>
        <w:t xml:space="preserve">- Υπέρβαση του ορίου σώρευσης του κανονισμού 1407/2013 η οποία συντελείται με την χορηγηθείσα ενίσχυση της παρούσας, σε επίπεδο «ενιαίας επιχείρησης». </w:t>
      </w:r>
    </w:p>
    <w:p w:rsidR="00772CC5" w:rsidRPr="00772CC5" w:rsidRDefault="00D7712F" w:rsidP="00D7712F">
      <w:pPr>
        <w:tabs>
          <w:tab w:val="num" w:pos="284"/>
        </w:tabs>
        <w:ind w:left="284" w:hanging="284"/>
        <w:jc w:val="both"/>
        <w:rPr>
          <w:bCs/>
        </w:rPr>
      </w:pPr>
      <w:r>
        <w:rPr>
          <w:bCs/>
        </w:rPr>
        <w:t xml:space="preserve">      </w:t>
      </w:r>
      <w:r w:rsidR="00772CC5" w:rsidRPr="00772CC5">
        <w:rPr>
          <w:bCs/>
        </w:rPr>
        <w:t xml:space="preserve">- Μη προσκόμιση μέρους ή του συνόλου των απαιτούμενων δικαιολογητικών του ΠΑΡΑΡΤΗΜΑΤΟΣ V. </w:t>
      </w:r>
    </w:p>
    <w:p w:rsidR="00772CC5" w:rsidRDefault="00772CC5" w:rsidP="00D7712F">
      <w:pPr>
        <w:numPr>
          <w:ilvl w:val="0"/>
          <w:numId w:val="9"/>
        </w:numPr>
        <w:tabs>
          <w:tab w:val="clear" w:pos="720"/>
          <w:tab w:val="num" w:pos="284"/>
        </w:tabs>
        <w:ind w:left="284" w:hanging="284"/>
        <w:jc w:val="both"/>
      </w:pPr>
      <w:r w:rsidRPr="004E5516">
        <w:t>Οι λήπτες της ενίσχυσης είναι υπεύθυνοι για την ορθή τήρηση των όρων και περιορισμών της Δράσης. Όλα τα δικαιολογητικά  τηρούνται από τον ΕΦΕΠΑΕ τόσο κατά τη διάρκεια της περιόδου εκτέλεσης του έργου όσο και μετά απ’ αυτή, για χρονικό διάστημα τουλάχιστον δέκα (10) ετών μετά την καταβολή της δημόσιας επιχορήγησης.</w:t>
      </w:r>
    </w:p>
    <w:p w:rsidR="00D7712F" w:rsidRDefault="00D7712F" w:rsidP="004E5516">
      <w:pPr>
        <w:rPr>
          <w:b/>
          <w:bCs/>
        </w:rPr>
      </w:pPr>
    </w:p>
    <w:p w:rsidR="004E5516" w:rsidRPr="004E5516" w:rsidRDefault="004E5516" w:rsidP="004E5516">
      <w:r w:rsidRPr="004E5516">
        <w:rPr>
          <w:b/>
          <w:bCs/>
        </w:rPr>
        <w:t>14. Υποχρεώσεις</w:t>
      </w:r>
    </w:p>
    <w:p w:rsidR="004E5516" w:rsidRPr="004E5516" w:rsidRDefault="004E5516" w:rsidP="00145CDD">
      <w:pPr>
        <w:jc w:val="both"/>
      </w:pPr>
      <w:r w:rsidRPr="004E5516">
        <w:t>Οι δικαιούχοι θα πρέπει να:</w:t>
      </w:r>
    </w:p>
    <w:p w:rsidR="004E5516" w:rsidRPr="004E5516" w:rsidRDefault="004E5516" w:rsidP="00145CDD">
      <w:pPr>
        <w:jc w:val="both"/>
      </w:pPr>
      <w:r w:rsidRPr="004E5516">
        <w:t>α) τηρούν τους όρους που προβλέπονται στην πρόσκληση καθώς και τους όρους του ΠΑΡΑΡΤΗΜΑΤΟΣ VI:  Προϋποθέσεις Κανονισμού 1407/2013</w:t>
      </w:r>
    </w:p>
    <w:p w:rsidR="004E5516" w:rsidRPr="004E5516" w:rsidRDefault="004E5516" w:rsidP="00145CDD">
      <w:pPr>
        <w:jc w:val="both"/>
      </w:pPr>
      <w:r w:rsidRPr="004E5516">
        <w:t>β) μην ενισχύονται από άλλο Εθνικό ή Κοινοτικό Πρόγραμμα για την υλοποίηση της ίδιας πρότασης ή τμήματος αυτής</w:t>
      </w:r>
    </w:p>
    <w:p w:rsidR="004E5516" w:rsidRPr="004E5516" w:rsidRDefault="004E5516" w:rsidP="00145CDD">
      <w:pPr>
        <w:jc w:val="both"/>
      </w:pPr>
      <w:r w:rsidRPr="004E5516">
        <w:t xml:space="preserve">γ) πραγματοποιούν το σύνολο των ενεργειών μέσω της πλατφόρμας </w:t>
      </w:r>
      <w:hyperlink r:id="rId17" w:history="1">
        <w:r w:rsidRPr="004E5516">
          <w:rPr>
            <w:rStyle w:val="-"/>
            <w:lang w:val="en-GB"/>
          </w:rPr>
          <w:t>https</w:t>
        </w:r>
      </w:hyperlink>
      <w:hyperlink r:id="rId18" w:history="1">
        <w:r w:rsidRPr="004E5516">
          <w:rPr>
            <w:rStyle w:val="-"/>
          </w:rPr>
          <w:t>://</w:t>
        </w:r>
      </w:hyperlink>
      <w:hyperlink r:id="rId19" w:history="1">
        <w:r w:rsidRPr="004E5516">
          <w:rPr>
            <w:rStyle w:val="-"/>
          </w:rPr>
          <w:t>heating-devices</w:t>
        </w:r>
      </w:hyperlink>
      <w:hyperlink r:id="rId20" w:history="1">
        <w:r w:rsidRPr="004E5516">
          <w:rPr>
            <w:rStyle w:val="-"/>
          </w:rPr>
          <w:t>.</w:t>
        </w:r>
      </w:hyperlink>
      <w:hyperlink r:id="rId21" w:history="1">
        <w:r w:rsidRPr="004E5516">
          <w:rPr>
            <w:rStyle w:val="-"/>
            <w:lang w:val="en-GB"/>
          </w:rPr>
          <w:t>gov</w:t>
        </w:r>
      </w:hyperlink>
      <w:hyperlink r:id="rId22" w:history="1">
        <w:r w:rsidRPr="004E5516">
          <w:rPr>
            <w:rStyle w:val="-"/>
          </w:rPr>
          <w:t>.</w:t>
        </w:r>
      </w:hyperlink>
      <w:hyperlink r:id="rId23" w:history="1">
        <w:r w:rsidRPr="004E5516">
          <w:rPr>
            <w:rStyle w:val="-"/>
          </w:rPr>
          <w:t>gr</w:t>
        </w:r>
      </w:hyperlink>
      <w:r w:rsidRPr="004E5516">
        <w:t xml:space="preserve">  διασφαλίζοντας την ακρίβεια, την ποιότητα και πληρότητα των υποβαλλόμενων στοιχείων</w:t>
      </w:r>
    </w:p>
    <w:p w:rsidR="004E5516" w:rsidRPr="004E5516" w:rsidRDefault="004E5516" w:rsidP="00145CDD">
      <w:pPr>
        <w:jc w:val="both"/>
      </w:pPr>
      <w:r w:rsidRPr="004E5516">
        <w:t xml:space="preserve">δ) λαμβάνουν όλα τα μέτρα πληροφόρησης που προβλέπονται </w:t>
      </w:r>
    </w:p>
    <w:p w:rsidR="00D7712F" w:rsidRDefault="00D7712F" w:rsidP="004E5516">
      <w:pPr>
        <w:rPr>
          <w:b/>
          <w:bCs/>
        </w:rPr>
      </w:pPr>
    </w:p>
    <w:p w:rsidR="00206C64" w:rsidRDefault="00206C64" w:rsidP="004E5516">
      <w:pPr>
        <w:rPr>
          <w:b/>
          <w:bCs/>
        </w:rPr>
      </w:pPr>
    </w:p>
    <w:p w:rsidR="00206C64" w:rsidRDefault="00206C64" w:rsidP="004E5516">
      <w:pPr>
        <w:rPr>
          <w:b/>
          <w:bCs/>
        </w:rPr>
      </w:pPr>
    </w:p>
    <w:p w:rsidR="00206C64" w:rsidRDefault="00206C64" w:rsidP="004E5516">
      <w:pPr>
        <w:rPr>
          <w:b/>
          <w:bCs/>
        </w:rPr>
      </w:pPr>
      <w:bookmarkStart w:id="0" w:name="_GoBack"/>
      <w:bookmarkEnd w:id="0"/>
    </w:p>
    <w:p w:rsidR="004E5516" w:rsidRDefault="004E5516" w:rsidP="004E5516">
      <w:pPr>
        <w:rPr>
          <w:b/>
          <w:bCs/>
        </w:rPr>
      </w:pPr>
      <w:r w:rsidRPr="004E5516">
        <w:rPr>
          <w:b/>
          <w:bCs/>
        </w:rPr>
        <w:lastRenderedPageBreak/>
        <w:t>15</w:t>
      </w:r>
      <w:r w:rsidRPr="00E024EC">
        <w:rPr>
          <w:b/>
          <w:bCs/>
        </w:rPr>
        <w:t xml:space="preserve">. </w:t>
      </w:r>
      <w:r w:rsidRPr="004E5516">
        <w:rPr>
          <w:b/>
          <w:bCs/>
        </w:rPr>
        <w:t>Υποχρεώσεις Δημοσιότητας</w:t>
      </w:r>
    </w:p>
    <w:p w:rsidR="004E5516" w:rsidRPr="004E5516" w:rsidRDefault="00D7712F" w:rsidP="004E5516">
      <w:r>
        <w:t>Οι Τελικοί Λ</w:t>
      </w:r>
      <w:r w:rsidR="004E5516" w:rsidRPr="004E5516">
        <w:t>ήπτες</w:t>
      </w:r>
      <w:r>
        <w:t xml:space="preserve"> της ενίσχυσης</w:t>
      </w:r>
      <w:r w:rsidRPr="00D7712F">
        <w:t>-</w:t>
      </w:r>
      <w:r>
        <w:t>Δικαιούχοι</w:t>
      </w:r>
      <w:r w:rsidR="004E5516" w:rsidRPr="004E5516">
        <w:t xml:space="preserve"> θα πρέπει</w:t>
      </w:r>
      <w:r w:rsidR="004E5516">
        <w:t>:</w:t>
      </w:r>
      <w:r w:rsidR="004E5516" w:rsidRPr="004E5516">
        <w:t xml:space="preserve"> </w:t>
      </w:r>
    </w:p>
    <w:p w:rsidR="000A11F8" w:rsidRPr="004E5516" w:rsidRDefault="00145CDD" w:rsidP="00D7712F">
      <w:pPr>
        <w:numPr>
          <w:ilvl w:val="0"/>
          <w:numId w:val="10"/>
        </w:numPr>
        <w:tabs>
          <w:tab w:val="clear" w:pos="720"/>
        </w:tabs>
        <w:ind w:left="284" w:hanging="284"/>
        <w:jc w:val="both"/>
      </w:pPr>
      <w:r w:rsidRPr="004E5516">
        <w:t>να τοποθετήσουν σε εμφανές σημείο της επιχείρησης τους αφίσα, σε ελάχιστο μέγεθος A4 αναφορικά με τη συνδρομή του Διαρθρωτικού Ταμείου στην υλοποίηση της Πράξης, σύμφωνα με τις οδηγίες της αναθέτουσας αρχής</w:t>
      </w:r>
    </w:p>
    <w:p w:rsidR="000A11F8" w:rsidRDefault="00145CDD" w:rsidP="00D7712F">
      <w:pPr>
        <w:numPr>
          <w:ilvl w:val="0"/>
          <w:numId w:val="10"/>
        </w:numPr>
        <w:tabs>
          <w:tab w:val="clear" w:pos="720"/>
        </w:tabs>
        <w:ind w:left="284" w:hanging="284"/>
        <w:jc w:val="both"/>
      </w:pPr>
      <w:r w:rsidRPr="004E5516">
        <w:t>να παρέχουν κάθε στοιχείο και πληροφορία που αφορούν στο έργο ακόμα και μετά τη λήξη της Δράσης, ώστε να εξασφαλιστεί η δυνατότητα αποτίμησης και αξιολόγησης της Δράσης, στα αρμόδια όργανα</w:t>
      </w:r>
    </w:p>
    <w:p w:rsidR="004E5516" w:rsidRDefault="004E5516" w:rsidP="00D7712F">
      <w:pPr>
        <w:ind w:left="284" w:hanging="284"/>
      </w:pPr>
    </w:p>
    <w:p w:rsidR="004E5516" w:rsidRPr="00573613" w:rsidRDefault="004E5516" w:rsidP="004E5516">
      <w:pPr>
        <w:rPr>
          <w:rFonts w:ascii="Calibri" w:hAnsi="Calibri"/>
          <w:b/>
          <w:sz w:val="24"/>
          <w:u w:val="single"/>
        </w:rPr>
      </w:pPr>
      <w:r w:rsidRPr="00573613">
        <w:rPr>
          <w:rFonts w:ascii="Calibri" w:hAnsi="Calibri"/>
          <w:b/>
          <w:sz w:val="24"/>
          <w:u w:val="single"/>
        </w:rPr>
        <w:t>1</w:t>
      </w:r>
      <w:r w:rsidR="00145CDD">
        <w:rPr>
          <w:rFonts w:ascii="Calibri" w:hAnsi="Calibri"/>
          <w:b/>
          <w:sz w:val="24"/>
          <w:u w:val="single"/>
        </w:rPr>
        <w:t>6</w:t>
      </w:r>
      <w:r w:rsidRPr="00573613">
        <w:rPr>
          <w:rFonts w:ascii="Calibri" w:hAnsi="Calibri"/>
          <w:b/>
          <w:sz w:val="24"/>
          <w:u w:val="single"/>
        </w:rPr>
        <w:t>.</w:t>
      </w:r>
      <w:r>
        <w:rPr>
          <w:rFonts w:ascii="Calibri" w:hAnsi="Calibri"/>
          <w:b/>
          <w:sz w:val="24"/>
          <w:u w:val="single"/>
        </w:rPr>
        <w:t xml:space="preserve"> </w:t>
      </w:r>
      <w:r w:rsidRPr="00573613">
        <w:rPr>
          <w:rFonts w:ascii="Calibri" w:hAnsi="Calibri"/>
          <w:b/>
          <w:sz w:val="24"/>
          <w:u w:val="single"/>
        </w:rPr>
        <w:t>Επικοινωνία-Πληροφορίες</w:t>
      </w:r>
    </w:p>
    <w:p w:rsidR="00D7712F" w:rsidRPr="00D7712F" w:rsidRDefault="00D7712F" w:rsidP="00D7712F">
      <w:pPr>
        <w:pStyle w:val="a3"/>
        <w:numPr>
          <w:ilvl w:val="0"/>
          <w:numId w:val="12"/>
        </w:numPr>
        <w:ind w:left="284" w:hanging="284"/>
        <w:jc w:val="both"/>
        <w:rPr>
          <w:rFonts w:ascii="Calibri" w:hAnsi="Calibri"/>
        </w:rPr>
      </w:pPr>
      <w:r w:rsidRPr="00D7712F">
        <w:rPr>
          <w:rFonts w:ascii="Calibri" w:hAnsi="Calibri"/>
        </w:rPr>
        <w:t>ΚΕΠΑ-ΑΝΕΜ ΑΜΚΕ/EΦΕΠΑΕ (τηλ 2310-480.000, www.kepa-anem.gr, e-mail: thesssoma@e-kepa.gr ,info@e-kepa.gr).</w:t>
      </w:r>
    </w:p>
    <w:p w:rsidR="00D7712F" w:rsidRPr="00D7712F" w:rsidRDefault="00D7712F" w:rsidP="00D7712F">
      <w:pPr>
        <w:pStyle w:val="a3"/>
        <w:numPr>
          <w:ilvl w:val="0"/>
          <w:numId w:val="12"/>
        </w:numPr>
        <w:ind w:left="284" w:hanging="284"/>
        <w:jc w:val="both"/>
        <w:rPr>
          <w:rFonts w:ascii="Calibri" w:hAnsi="Calibri"/>
        </w:rPr>
      </w:pPr>
      <w:r w:rsidRPr="00D7712F">
        <w:rPr>
          <w:rFonts w:ascii="Calibri" w:hAnsi="Calibri"/>
        </w:rPr>
        <w:t xml:space="preserve">ΑΝΚΟ (Παράρτημα της ΚΕΠΑ-ΑΝΕΜ ΑΜΚΕ/ΕΦΕΠΑΕ στην Περιφέρεια Δυτικής Μακεδονίας), τηλ. 2461/24022 , anko@anko.gr, για τις επιχειρήσεις της Δυτικής Μακεδονίας και </w:t>
      </w:r>
    </w:p>
    <w:p w:rsidR="00D7712F" w:rsidRPr="00D7712F" w:rsidRDefault="00D7712F" w:rsidP="00D7712F">
      <w:pPr>
        <w:pStyle w:val="a3"/>
        <w:numPr>
          <w:ilvl w:val="0"/>
          <w:numId w:val="12"/>
        </w:numPr>
        <w:ind w:left="284" w:hanging="284"/>
        <w:jc w:val="both"/>
        <w:rPr>
          <w:rFonts w:ascii="Calibri" w:hAnsi="Calibri"/>
        </w:rPr>
      </w:pPr>
      <w:r w:rsidRPr="00D7712F">
        <w:rPr>
          <w:rFonts w:ascii="Calibri" w:hAnsi="Calibri"/>
        </w:rPr>
        <w:t>Κατά</w:t>
      </w:r>
      <w:r w:rsidRPr="00D7712F">
        <w:rPr>
          <w:rFonts w:ascii="Calibri" w:hAnsi="Calibri"/>
        </w:rPr>
        <w:t xml:space="preserve"> τόπους Εμποροβιομηχανικά Επιμελητήρια της Κεντρικής και Δυτικής Μακεδονίας.</w:t>
      </w:r>
    </w:p>
    <w:p w:rsidR="00D7712F" w:rsidRPr="00D7712F" w:rsidRDefault="00D7712F" w:rsidP="00D7712F">
      <w:pPr>
        <w:pStyle w:val="a3"/>
        <w:numPr>
          <w:ilvl w:val="0"/>
          <w:numId w:val="12"/>
        </w:numPr>
        <w:ind w:left="284" w:hanging="284"/>
        <w:jc w:val="both"/>
        <w:rPr>
          <w:rFonts w:ascii="Calibri" w:hAnsi="Calibri"/>
        </w:rPr>
      </w:pPr>
      <w:r w:rsidRPr="00D7712F">
        <w:rPr>
          <w:rFonts w:ascii="Calibri" w:hAnsi="Calibri"/>
        </w:rPr>
        <w:t>Επίσης οι ενδιαφερόμενοι μπορούν να αποστέλλουν ηλεκτρονικά το ερώτημά τους μέσω της ιστοσελίδας www.kepa-anem.gr (πεδίο Στείλε το ερώτημά σου στη διεύθυνση : https://kepa-anem.gr/steile-to-erotima-sou/ ).</w:t>
      </w:r>
    </w:p>
    <w:p w:rsidR="004E5516" w:rsidRPr="00D7712F" w:rsidRDefault="00D7712F" w:rsidP="00D7712F">
      <w:pPr>
        <w:pStyle w:val="a3"/>
        <w:numPr>
          <w:ilvl w:val="0"/>
          <w:numId w:val="12"/>
        </w:numPr>
        <w:ind w:left="284" w:hanging="284"/>
        <w:jc w:val="both"/>
        <w:rPr>
          <w:rFonts w:ascii="Calibri" w:hAnsi="Calibri"/>
        </w:rPr>
      </w:pPr>
      <w:r w:rsidRPr="00D7712F">
        <w:rPr>
          <w:rFonts w:ascii="Calibri" w:hAnsi="Calibri"/>
        </w:rPr>
        <w:t>Διαδικτυακός τόποι</w:t>
      </w:r>
      <w:r w:rsidR="004E5516" w:rsidRPr="00D7712F">
        <w:rPr>
          <w:rFonts w:ascii="Calibri" w:hAnsi="Calibri"/>
        </w:rPr>
        <w:t xml:space="preserve"> : www.e-kepa.gr, www.kepa- anem.gr, www.antagonistikotita.gr, www.espa.gr, https://heating-devices.gov.gr</w:t>
      </w:r>
      <w:r w:rsidRPr="00D7712F">
        <w:rPr>
          <w:rFonts w:ascii="Calibri" w:hAnsi="Calibri"/>
        </w:rPr>
        <w:t>.</w:t>
      </w:r>
    </w:p>
    <w:p w:rsidR="004E5516" w:rsidRPr="004E5516" w:rsidRDefault="004E5516" w:rsidP="00D7712F">
      <w:pPr>
        <w:tabs>
          <w:tab w:val="left" w:pos="710"/>
        </w:tabs>
        <w:ind w:left="284" w:hanging="284"/>
      </w:pPr>
    </w:p>
    <w:p w:rsidR="004E5516" w:rsidRPr="004E5516" w:rsidRDefault="004E5516" w:rsidP="004E5516"/>
    <w:sectPr w:rsidR="004E5516" w:rsidRPr="004E5516">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772" w:rsidRDefault="00C84772" w:rsidP="00D7712F">
      <w:pPr>
        <w:spacing w:after="0" w:line="240" w:lineRule="auto"/>
      </w:pPr>
      <w:r>
        <w:separator/>
      </w:r>
    </w:p>
  </w:endnote>
  <w:endnote w:type="continuationSeparator" w:id="0">
    <w:p w:rsidR="00C84772" w:rsidRDefault="00C84772" w:rsidP="00D7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091952"/>
      <w:docPartObj>
        <w:docPartGallery w:val="Page Numbers (Bottom of Page)"/>
        <w:docPartUnique/>
      </w:docPartObj>
    </w:sdtPr>
    <w:sdtContent>
      <w:p w:rsidR="00D7712F" w:rsidRDefault="00D7712F">
        <w:pPr>
          <w:pStyle w:val="a5"/>
          <w:jc w:val="right"/>
        </w:pPr>
        <w:r>
          <w:fldChar w:fldCharType="begin"/>
        </w:r>
        <w:r>
          <w:instrText>PAGE   \* MERGEFORMAT</w:instrText>
        </w:r>
        <w:r>
          <w:fldChar w:fldCharType="separate"/>
        </w:r>
        <w:r w:rsidR="00206C64">
          <w:rPr>
            <w:noProof/>
          </w:rPr>
          <w:t>6</w:t>
        </w:r>
        <w:r>
          <w:fldChar w:fldCharType="end"/>
        </w:r>
      </w:p>
    </w:sdtContent>
  </w:sdt>
  <w:p w:rsidR="00D7712F" w:rsidRDefault="00D771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772" w:rsidRDefault="00C84772" w:rsidP="00D7712F">
      <w:pPr>
        <w:spacing w:after="0" w:line="240" w:lineRule="auto"/>
      </w:pPr>
      <w:r>
        <w:separator/>
      </w:r>
    </w:p>
  </w:footnote>
  <w:footnote w:type="continuationSeparator" w:id="0">
    <w:p w:rsidR="00C84772" w:rsidRDefault="00C84772" w:rsidP="00D77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27DCE"/>
    <w:multiLevelType w:val="hybridMultilevel"/>
    <w:tmpl w:val="4498F0D8"/>
    <w:lvl w:ilvl="0" w:tplc="3F7A9D42">
      <w:start w:val="1"/>
      <w:numFmt w:val="bullet"/>
      <w:lvlText w:val=""/>
      <w:lvlJc w:val="left"/>
      <w:pPr>
        <w:tabs>
          <w:tab w:val="num" w:pos="720"/>
        </w:tabs>
        <w:ind w:left="720" w:hanging="360"/>
      </w:pPr>
      <w:rPr>
        <w:rFonts w:ascii="Wingdings" w:hAnsi="Wingdings" w:hint="default"/>
      </w:rPr>
    </w:lvl>
    <w:lvl w:ilvl="1" w:tplc="98C2D276" w:tentative="1">
      <w:start w:val="1"/>
      <w:numFmt w:val="bullet"/>
      <w:lvlText w:val=""/>
      <w:lvlJc w:val="left"/>
      <w:pPr>
        <w:tabs>
          <w:tab w:val="num" w:pos="1440"/>
        </w:tabs>
        <w:ind w:left="1440" w:hanging="360"/>
      </w:pPr>
      <w:rPr>
        <w:rFonts w:ascii="Wingdings" w:hAnsi="Wingdings" w:hint="default"/>
      </w:rPr>
    </w:lvl>
    <w:lvl w:ilvl="2" w:tplc="8D3466F4" w:tentative="1">
      <w:start w:val="1"/>
      <w:numFmt w:val="bullet"/>
      <w:lvlText w:val=""/>
      <w:lvlJc w:val="left"/>
      <w:pPr>
        <w:tabs>
          <w:tab w:val="num" w:pos="2160"/>
        </w:tabs>
        <w:ind w:left="2160" w:hanging="360"/>
      </w:pPr>
      <w:rPr>
        <w:rFonts w:ascii="Wingdings" w:hAnsi="Wingdings" w:hint="default"/>
      </w:rPr>
    </w:lvl>
    <w:lvl w:ilvl="3" w:tplc="FCB2EA58" w:tentative="1">
      <w:start w:val="1"/>
      <w:numFmt w:val="bullet"/>
      <w:lvlText w:val=""/>
      <w:lvlJc w:val="left"/>
      <w:pPr>
        <w:tabs>
          <w:tab w:val="num" w:pos="2880"/>
        </w:tabs>
        <w:ind w:left="2880" w:hanging="360"/>
      </w:pPr>
      <w:rPr>
        <w:rFonts w:ascii="Wingdings" w:hAnsi="Wingdings" w:hint="default"/>
      </w:rPr>
    </w:lvl>
    <w:lvl w:ilvl="4" w:tplc="EBD86EB0" w:tentative="1">
      <w:start w:val="1"/>
      <w:numFmt w:val="bullet"/>
      <w:lvlText w:val=""/>
      <w:lvlJc w:val="left"/>
      <w:pPr>
        <w:tabs>
          <w:tab w:val="num" w:pos="3600"/>
        </w:tabs>
        <w:ind w:left="3600" w:hanging="360"/>
      </w:pPr>
      <w:rPr>
        <w:rFonts w:ascii="Wingdings" w:hAnsi="Wingdings" w:hint="default"/>
      </w:rPr>
    </w:lvl>
    <w:lvl w:ilvl="5" w:tplc="C414C0FE" w:tentative="1">
      <w:start w:val="1"/>
      <w:numFmt w:val="bullet"/>
      <w:lvlText w:val=""/>
      <w:lvlJc w:val="left"/>
      <w:pPr>
        <w:tabs>
          <w:tab w:val="num" w:pos="4320"/>
        </w:tabs>
        <w:ind w:left="4320" w:hanging="360"/>
      </w:pPr>
      <w:rPr>
        <w:rFonts w:ascii="Wingdings" w:hAnsi="Wingdings" w:hint="default"/>
      </w:rPr>
    </w:lvl>
    <w:lvl w:ilvl="6" w:tplc="6C32118C" w:tentative="1">
      <w:start w:val="1"/>
      <w:numFmt w:val="bullet"/>
      <w:lvlText w:val=""/>
      <w:lvlJc w:val="left"/>
      <w:pPr>
        <w:tabs>
          <w:tab w:val="num" w:pos="5040"/>
        </w:tabs>
        <w:ind w:left="5040" w:hanging="360"/>
      </w:pPr>
      <w:rPr>
        <w:rFonts w:ascii="Wingdings" w:hAnsi="Wingdings" w:hint="default"/>
      </w:rPr>
    </w:lvl>
    <w:lvl w:ilvl="7" w:tplc="A8287C34" w:tentative="1">
      <w:start w:val="1"/>
      <w:numFmt w:val="bullet"/>
      <w:lvlText w:val=""/>
      <w:lvlJc w:val="left"/>
      <w:pPr>
        <w:tabs>
          <w:tab w:val="num" w:pos="5760"/>
        </w:tabs>
        <w:ind w:left="5760" w:hanging="360"/>
      </w:pPr>
      <w:rPr>
        <w:rFonts w:ascii="Wingdings" w:hAnsi="Wingdings" w:hint="default"/>
      </w:rPr>
    </w:lvl>
    <w:lvl w:ilvl="8" w:tplc="659EC0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F73F9"/>
    <w:multiLevelType w:val="hybridMultilevel"/>
    <w:tmpl w:val="AC92FAE2"/>
    <w:lvl w:ilvl="0" w:tplc="50B47720">
      <w:start w:val="1"/>
      <w:numFmt w:val="bullet"/>
      <w:lvlText w:val=""/>
      <w:lvlJc w:val="left"/>
      <w:pPr>
        <w:tabs>
          <w:tab w:val="num" w:pos="720"/>
        </w:tabs>
        <w:ind w:left="720" w:hanging="360"/>
      </w:pPr>
      <w:rPr>
        <w:rFonts w:ascii="Wingdings" w:hAnsi="Wingdings" w:hint="default"/>
      </w:rPr>
    </w:lvl>
    <w:lvl w:ilvl="1" w:tplc="9A38E844" w:tentative="1">
      <w:start w:val="1"/>
      <w:numFmt w:val="bullet"/>
      <w:lvlText w:val=""/>
      <w:lvlJc w:val="left"/>
      <w:pPr>
        <w:tabs>
          <w:tab w:val="num" w:pos="1440"/>
        </w:tabs>
        <w:ind w:left="1440" w:hanging="360"/>
      </w:pPr>
      <w:rPr>
        <w:rFonts w:ascii="Wingdings" w:hAnsi="Wingdings" w:hint="default"/>
      </w:rPr>
    </w:lvl>
    <w:lvl w:ilvl="2" w:tplc="302C5760" w:tentative="1">
      <w:start w:val="1"/>
      <w:numFmt w:val="bullet"/>
      <w:lvlText w:val=""/>
      <w:lvlJc w:val="left"/>
      <w:pPr>
        <w:tabs>
          <w:tab w:val="num" w:pos="2160"/>
        </w:tabs>
        <w:ind w:left="2160" w:hanging="360"/>
      </w:pPr>
      <w:rPr>
        <w:rFonts w:ascii="Wingdings" w:hAnsi="Wingdings" w:hint="default"/>
      </w:rPr>
    </w:lvl>
    <w:lvl w:ilvl="3" w:tplc="8D289894" w:tentative="1">
      <w:start w:val="1"/>
      <w:numFmt w:val="bullet"/>
      <w:lvlText w:val=""/>
      <w:lvlJc w:val="left"/>
      <w:pPr>
        <w:tabs>
          <w:tab w:val="num" w:pos="2880"/>
        </w:tabs>
        <w:ind w:left="2880" w:hanging="360"/>
      </w:pPr>
      <w:rPr>
        <w:rFonts w:ascii="Wingdings" w:hAnsi="Wingdings" w:hint="default"/>
      </w:rPr>
    </w:lvl>
    <w:lvl w:ilvl="4" w:tplc="EB469B1A" w:tentative="1">
      <w:start w:val="1"/>
      <w:numFmt w:val="bullet"/>
      <w:lvlText w:val=""/>
      <w:lvlJc w:val="left"/>
      <w:pPr>
        <w:tabs>
          <w:tab w:val="num" w:pos="3600"/>
        </w:tabs>
        <w:ind w:left="3600" w:hanging="360"/>
      </w:pPr>
      <w:rPr>
        <w:rFonts w:ascii="Wingdings" w:hAnsi="Wingdings" w:hint="default"/>
      </w:rPr>
    </w:lvl>
    <w:lvl w:ilvl="5" w:tplc="AF864C0C" w:tentative="1">
      <w:start w:val="1"/>
      <w:numFmt w:val="bullet"/>
      <w:lvlText w:val=""/>
      <w:lvlJc w:val="left"/>
      <w:pPr>
        <w:tabs>
          <w:tab w:val="num" w:pos="4320"/>
        </w:tabs>
        <w:ind w:left="4320" w:hanging="360"/>
      </w:pPr>
      <w:rPr>
        <w:rFonts w:ascii="Wingdings" w:hAnsi="Wingdings" w:hint="default"/>
      </w:rPr>
    </w:lvl>
    <w:lvl w:ilvl="6" w:tplc="B6FC6376" w:tentative="1">
      <w:start w:val="1"/>
      <w:numFmt w:val="bullet"/>
      <w:lvlText w:val=""/>
      <w:lvlJc w:val="left"/>
      <w:pPr>
        <w:tabs>
          <w:tab w:val="num" w:pos="5040"/>
        </w:tabs>
        <w:ind w:left="5040" w:hanging="360"/>
      </w:pPr>
      <w:rPr>
        <w:rFonts w:ascii="Wingdings" w:hAnsi="Wingdings" w:hint="default"/>
      </w:rPr>
    </w:lvl>
    <w:lvl w:ilvl="7" w:tplc="16202F5E" w:tentative="1">
      <w:start w:val="1"/>
      <w:numFmt w:val="bullet"/>
      <w:lvlText w:val=""/>
      <w:lvlJc w:val="left"/>
      <w:pPr>
        <w:tabs>
          <w:tab w:val="num" w:pos="5760"/>
        </w:tabs>
        <w:ind w:left="5760" w:hanging="360"/>
      </w:pPr>
      <w:rPr>
        <w:rFonts w:ascii="Wingdings" w:hAnsi="Wingdings" w:hint="default"/>
      </w:rPr>
    </w:lvl>
    <w:lvl w:ilvl="8" w:tplc="9766C2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C2199"/>
    <w:multiLevelType w:val="hybridMultilevel"/>
    <w:tmpl w:val="43243FF2"/>
    <w:lvl w:ilvl="0" w:tplc="73A4D75E">
      <w:start w:val="1"/>
      <w:numFmt w:val="bullet"/>
      <w:lvlText w:val=""/>
      <w:lvlJc w:val="left"/>
      <w:pPr>
        <w:tabs>
          <w:tab w:val="num" w:pos="720"/>
        </w:tabs>
        <w:ind w:left="720" w:hanging="360"/>
      </w:pPr>
      <w:rPr>
        <w:rFonts w:ascii="Wingdings" w:hAnsi="Wingdings" w:hint="default"/>
      </w:rPr>
    </w:lvl>
    <w:lvl w:ilvl="1" w:tplc="B70CD4B0" w:tentative="1">
      <w:start w:val="1"/>
      <w:numFmt w:val="bullet"/>
      <w:lvlText w:val=""/>
      <w:lvlJc w:val="left"/>
      <w:pPr>
        <w:tabs>
          <w:tab w:val="num" w:pos="1440"/>
        </w:tabs>
        <w:ind w:left="1440" w:hanging="360"/>
      </w:pPr>
      <w:rPr>
        <w:rFonts w:ascii="Wingdings" w:hAnsi="Wingdings" w:hint="default"/>
      </w:rPr>
    </w:lvl>
    <w:lvl w:ilvl="2" w:tplc="139CC212" w:tentative="1">
      <w:start w:val="1"/>
      <w:numFmt w:val="bullet"/>
      <w:lvlText w:val=""/>
      <w:lvlJc w:val="left"/>
      <w:pPr>
        <w:tabs>
          <w:tab w:val="num" w:pos="2160"/>
        </w:tabs>
        <w:ind w:left="2160" w:hanging="360"/>
      </w:pPr>
      <w:rPr>
        <w:rFonts w:ascii="Wingdings" w:hAnsi="Wingdings" w:hint="default"/>
      </w:rPr>
    </w:lvl>
    <w:lvl w:ilvl="3" w:tplc="C1A2FF96" w:tentative="1">
      <w:start w:val="1"/>
      <w:numFmt w:val="bullet"/>
      <w:lvlText w:val=""/>
      <w:lvlJc w:val="left"/>
      <w:pPr>
        <w:tabs>
          <w:tab w:val="num" w:pos="2880"/>
        </w:tabs>
        <w:ind w:left="2880" w:hanging="360"/>
      </w:pPr>
      <w:rPr>
        <w:rFonts w:ascii="Wingdings" w:hAnsi="Wingdings" w:hint="default"/>
      </w:rPr>
    </w:lvl>
    <w:lvl w:ilvl="4" w:tplc="A604935C" w:tentative="1">
      <w:start w:val="1"/>
      <w:numFmt w:val="bullet"/>
      <w:lvlText w:val=""/>
      <w:lvlJc w:val="left"/>
      <w:pPr>
        <w:tabs>
          <w:tab w:val="num" w:pos="3600"/>
        </w:tabs>
        <w:ind w:left="3600" w:hanging="360"/>
      </w:pPr>
      <w:rPr>
        <w:rFonts w:ascii="Wingdings" w:hAnsi="Wingdings" w:hint="default"/>
      </w:rPr>
    </w:lvl>
    <w:lvl w:ilvl="5" w:tplc="93909664" w:tentative="1">
      <w:start w:val="1"/>
      <w:numFmt w:val="bullet"/>
      <w:lvlText w:val=""/>
      <w:lvlJc w:val="left"/>
      <w:pPr>
        <w:tabs>
          <w:tab w:val="num" w:pos="4320"/>
        </w:tabs>
        <w:ind w:left="4320" w:hanging="360"/>
      </w:pPr>
      <w:rPr>
        <w:rFonts w:ascii="Wingdings" w:hAnsi="Wingdings" w:hint="default"/>
      </w:rPr>
    </w:lvl>
    <w:lvl w:ilvl="6" w:tplc="DEB46210" w:tentative="1">
      <w:start w:val="1"/>
      <w:numFmt w:val="bullet"/>
      <w:lvlText w:val=""/>
      <w:lvlJc w:val="left"/>
      <w:pPr>
        <w:tabs>
          <w:tab w:val="num" w:pos="5040"/>
        </w:tabs>
        <w:ind w:left="5040" w:hanging="360"/>
      </w:pPr>
      <w:rPr>
        <w:rFonts w:ascii="Wingdings" w:hAnsi="Wingdings" w:hint="default"/>
      </w:rPr>
    </w:lvl>
    <w:lvl w:ilvl="7" w:tplc="6FDCCBE2" w:tentative="1">
      <w:start w:val="1"/>
      <w:numFmt w:val="bullet"/>
      <w:lvlText w:val=""/>
      <w:lvlJc w:val="left"/>
      <w:pPr>
        <w:tabs>
          <w:tab w:val="num" w:pos="5760"/>
        </w:tabs>
        <w:ind w:left="5760" w:hanging="360"/>
      </w:pPr>
      <w:rPr>
        <w:rFonts w:ascii="Wingdings" w:hAnsi="Wingdings" w:hint="default"/>
      </w:rPr>
    </w:lvl>
    <w:lvl w:ilvl="8" w:tplc="30EAE8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B5A88"/>
    <w:multiLevelType w:val="hybridMultilevel"/>
    <w:tmpl w:val="961C14A8"/>
    <w:lvl w:ilvl="0" w:tplc="BEBCC630">
      <w:start w:val="1"/>
      <w:numFmt w:val="bullet"/>
      <w:lvlText w:val=""/>
      <w:lvlJc w:val="left"/>
      <w:pPr>
        <w:tabs>
          <w:tab w:val="num" w:pos="720"/>
        </w:tabs>
        <w:ind w:left="720" w:hanging="360"/>
      </w:pPr>
      <w:rPr>
        <w:rFonts w:ascii="Wingdings" w:hAnsi="Wingdings" w:hint="default"/>
      </w:rPr>
    </w:lvl>
    <w:lvl w:ilvl="1" w:tplc="DD6869DA" w:tentative="1">
      <w:start w:val="1"/>
      <w:numFmt w:val="bullet"/>
      <w:lvlText w:val=""/>
      <w:lvlJc w:val="left"/>
      <w:pPr>
        <w:tabs>
          <w:tab w:val="num" w:pos="1440"/>
        </w:tabs>
        <w:ind w:left="1440" w:hanging="360"/>
      </w:pPr>
      <w:rPr>
        <w:rFonts w:ascii="Wingdings" w:hAnsi="Wingdings" w:hint="default"/>
      </w:rPr>
    </w:lvl>
    <w:lvl w:ilvl="2" w:tplc="5FD00ECA" w:tentative="1">
      <w:start w:val="1"/>
      <w:numFmt w:val="bullet"/>
      <w:lvlText w:val=""/>
      <w:lvlJc w:val="left"/>
      <w:pPr>
        <w:tabs>
          <w:tab w:val="num" w:pos="2160"/>
        </w:tabs>
        <w:ind w:left="2160" w:hanging="360"/>
      </w:pPr>
      <w:rPr>
        <w:rFonts w:ascii="Wingdings" w:hAnsi="Wingdings" w:hint="default"/>
      </w:rPr>
    </w:lvl>
    <w:lvl w:ilvl="3" w:tplc="A1A8446C" w:tentative="1">
      <w:start w:val="1"/>
      <w:numFmt w:val="bullet"/>
      <w:lvlText w:val=""/>
      <w:lvlJc w:val="left"/>
      <w:pPr>
        <w:tabs>
          <w:tab w:val="num" w:pos="2880"/>
        </w:tabs>
        <w:ind w:left="2880" w:hanging="360"/>
      </w:pPr>
      <w:rPr>
        <w:rFonts w:ascii="Wingdings" w:hAnsi="Wingdings" w:hint="default"/>
      </w:rPr>
    </w:lvl>
    <w:lvl w:ilvl="4" w:tplc="3014E870" w:tentative="1">
      <w:start w:val="1"/>
      <w:numFmt w:val="bullet"/>
      <w:lvlText w:val=""/>
      <w:lvlJc w:val="left"/>
      <w:pPr>
        <w:tabs>
          <w:tab w:val="num" w:pos="3600"/>
        </w:tabs>
        <w:ind w:left="3600" w:hanging="360"/>
      </w:pPr>
      <w:rPr>
        <w:rFonts w:ascii="Wingdings" w:hAnsi="Wingdings" w:hint="default"/>
      </w:rPr>
    </w:lvl>
    <w:lvl w:ilvl="5" w:tplc="A546ECD6" w:tentative="1">
      <w:start w:val="1"/>
      <w:numFmt w:val="bullet"/>
      <w:lvlText w:val=""/>
      <w:lvlJc w:val="left"/>
      <w:pPr>
        <w:tabs>
          <w:tab w:val="num" w:pos="4320"/>
        </w:tabs>
        <w:ind w:left="4320" w:hanging="360"/>
      </w:pPr>
      <w:rPr>
        <w:rFonts w:ascii="Wingdings" w:hAnsi="Wingdings" w:hint="default"/>
      </w:rPr>
    </w:lvl>
    <w:lvl w:ilvl="6" w:tplc="5456C10C" w:tentative="1">
      <w:start w:val="1"/>
      <w:numFmt w:val="bullet"/>
      <w:lvlText w:val=""/>
      <w:lvlJc w:val="left"/>
      <w:pPr>
        <w:tabs>
          <w:tab w:val="num" w:pos="5040"/>
        </w:tabs>
        <w:ind w:left="5040" w:hanging="360"/>
      </w:pPr>
      <w:rPr>
        <w:rFonts w:ascii="Wingdings" w:hAnsi="Wingdings" w:hint="default"/>
      </w:rPr>
    </w:lvl>
    <w:lvl w:ilvl="7" w:tplc="7FBA90CA" w:tentative="1">
      <w:start w:val="1"/>
      <w:numFmt w:val="bullet"/>
      <w:lvlText w:val=""/>
      <w:lvlJc w:val="left"/>
      <w:pPr>
        <w:tabs>
          <w:tab w:val="num" w:pos="5760"/>
        </w:tabs>
        <w:ind w:left="5760" w:hanging="360"/>
      </w:pPr>
      <w:rPr>
        <w:rFonts w:ascii="Wingdings" w:hAnsi="Wingdings" w:hint="default"/>
      </w:rPr>
    </w:lvl>
    <w:lvl w:ilvl="8" w:tplc="1B5E46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A557F7"/>
    <w:multiLevelType w:val="hybridMultilevel"/>
    <w:tmpl w:val="E8A46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2597180"/>
    <w:multiLevelType w:val="hybridMultilevel"/>
    <w:tmpl w:val="0C2A2CC6"/>
    <w:lvl w:ilvl="0" w:tplc="2DE2BF9A">
      <w:start w:val="1"/>
      <w:numFmt w:val="bullet"/>
      <w:lvlText w:val=""/>
      <w:lvlJc w:val="left"/>
      <w:pPr>
        <w:tabs>
          <w:tab w:val="num" w:pos="720"/>
        </w:tabs>
        <w:ind w:left="720" w:hanging="360"/>
      </w:pPr>
      <w:rPr>
        <w:rFonts w:ascii="Wingdings" w:hAnsi="Wingdings" w:hint="default"/>
      </w:rPr>
    </w:lvl>
    <w:lvl w:ilvl="1" w:tplc="F8B027EA" w:tentative="1">
      <w:start w:val="1"/>
      <w:numFmt w:val="bullet"/>
      <w:lvlText w:val=""/>
      <w:lvlJc w:val="left"/>
      <w:pPr>
        <w:tabs>
          <w:tab w:val="num" w:pos="1440"/>
        </w:tabs>
        <w:ind w:left="1440" w:hanging="360"/>
      </w:pPr>
      <w:rPr>
        <w:rFonts w:ascii="Wingdings" w:hAnsi="Wingdings" w:hint="default"/>
      </w:rPr>
    </w:lvl>
    <w:lvl w:ilvl="2" w:tplc="7E5890A2" w:tentative="1">
      <w:start w:val="1"/>
      <w:numFmt w:val="bullet"/>
      <w:lvlText w:val=""/>
      <w:lvlJc w:val="left"/>
      <w:pPr>
        <w:tabs>
          <w:tab w:val="num" w:pos="2160"/>
        </w:tabs>
        <w:ind w:left="2160" w:hanging="360"/>
      </w:pPr>
      <w:rPr>
        <w:rFonts w:ascii="Wingdings" w:hAnsi="Wingdings" w:hint="default"/>
      </w:rPr>
    </w:lvl>
    <w:lvl w:ilvl="3" w:tplc="3B92BEBA" w:tentative="1">
      <w:start w:val="1"/>
      <w:numFmt w:val="bullet"/>
      <w:lvlText w:val=""/>
      <w:lvlJc w:val="left"/>
      <w:pPr>
        <w:tabs>
          <w:tab w:val="num" w:pos="2880"/>
        </w:tabs>
        <w:ind w:left="2880" w:hanging="360"/>
      </w:pPr>
      <w:rPr>
        <w:rFonts w:ascii="Wingdings" w:hAnsi="Wingdings" w:hint="default"/>
      </w:rPr>
    </w:lvl>
    <w:lvl w:ilvl="4" w:tplc="9FCA6EF2" w:tentative="1">
      <w:start w:val="1"/>
      <w:numFmt w:val="bullet"/>
      <w:lvlText w:val=""/>
      <w:lvlJc w:val="left"/>
      <w:pPr>
        <w:tabs>
          <w:tab w:val="num" w:pos="3600"/>
        </w:tabs>
        <w:ind w:left="3600" w:hanging="360"/>
      </w:pPr>
      <w:rPr>
        <w:rFonts w:ascii="Wingdings" w:hAnsi="Wingdings" w:hint="default"/>
      </w:rPr>
    </w:lvl>
    <w:lvl w:ilvl="5" w:tplc="A6EE870E" w:tentative="1">
      <w:start w:val="1"/>
      <w:numFmt w:val="bullet"/>
      <w:lvlText w:val=""/>
      <w:lvlJc w:val="left"/>
      <w:pPr>
        <w:tabs>
          <w:tab w:val="num" w:pos="4320"/>
        </w:tabs>
        <w:ind w:left="4320" w:hanging="360"/>
      </w:pPr>
      <w:rPr>
        <w:rFonts w:ascii="Wingdings" w:hAnsi="Wingdings" w:hint="default"/>
      </w:rPr>
    </w:lvl>
    <w:lvl w:ilvl="6" w:tplc="9B7A00D6" w:tentative="1">
      <w:start w:val="1"/>
      <w:numFmt w:val="bullet"/>
      <w:lvlText w:val=""/>
      <w:lvlJc w:val="left"/>
      <w:pPr>
        <w:tabs>
          <w:tab w:val="num" w:pos="5040"/>
        </w:tabs>
        <w:ind w:left="5040" w:hanging="360"/>
      </w:pPr>
      <w:rPr>
        <w:rFonts w:ascii="Wingdings" w:hAnsi="Wingdings" w:hint="default"/>
      </w:rPr>
    </w:lvl>
    <w:lvl w:ilvl="7" w:tplc="5FE2DDEC" w:tentative="1">
      <w:start w:val="1"/>
      <w:numFmt w:val="bullet"/>
      <w:lvlText w:val=""/>
      <w:lvlJc w:val="left"/>
      <w:pPr>
        <w:tabs>
          <w:tab w:val="num" w:pos="5760"/>
        </w:tabs>
        <w:ind w:left="5760" w:hanging="360"/>
      </w:pPr>
      <w:rPr>
        <w:rFonts w:ascii="Wingdings" w:hAnsi="Wingdings" w:hint="default"/>
      </w:rPr>
    </w:lvl>
    <w:lvl w:ilvl="8" w:tplc="20AE26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D5E99"/>
    <w:multiLevelType w:val="hybridMultilevel"/>
    <w:tmpl w:val="D5AE0DC2"/>
    <w:lvl w:ilvl="0" w:tplc="39F6E72E">
      <w:start w:val="1"/>
      <w:numFmt w:val="bullet"/>
      <w:lvlText w:val=""/>
      <w:lvlJc w:val="left"/>
      <w:pPr>
        <w:tabs>
          <w:tab w:val="num" w:pos="720"/>
        </w:tabs>
        <w:ind w:left="720" w:hanging="360"/>
      </w:pPr>
      <w:rPr>
        <w:rFonts w:ascii="Wingdings" w:hAnsi="Wingdings" w:hint="default"/>
      </w:rPr>
    </w:lvl>
    <w:lvl w:ilvl="1" w:tplc="5F1658DC" w:tentative="1">
      <w:start w:val="1"/>
      <w:numFmt w:val="bullet"/>
      <w:lvlText w:val=""/>
      <w:lvlJc w:val="left"/>
      <w:pPr>
        <w:tabs>
          <w:tab w:val="num" w:pos="1440"/>
        </w:tabs>
        <w:ind w:left="1440" w:hanging="360"/>
      </w:pPr>
      <w:rPr>
        <w:rFonts w:ascii="Wingdings" w:hAnsi="Wingdings" w:hint="default"/>
      </w:rPr>
    </w:lvl>
    <w:lvl w:ilvl="2" w:tplc="883CFE38" w:tentative="1">
      <w:start w:val="1"/>
      <w:numFmt w:val="bullet"/>
      <w:lvlText w:val=""/>
      <w:lvlJc w:val="left"/>
      <w:pPr>
        <w:tabs>
          <w:tab w:val="num" w:pos="2160"/>
        </w:tabs>
        <w:ind w:left="2160" w:hanging="360"/>
      </w:pPr>
      <w:rPr>
        <w:rFonts w:ascii="Wingdings" w:hAnsi="Wingdings" w:hint="default"/>
      </w:rPr>
    </w:lvl>
    <w:lvl w:ilvl="3" w:tplc="5680F39C" w:tentative="1">
      <w:start w:val="1"/>
      <w:numFmt w:val="bullet"/>
      <w:lvlText w:val=""/>
      <w:lvlJc w:val="left"/>
      <w:pPr>
        <w:tabs>
          <w:tab w:val="num" w:pos="2880"/>
        </w:tabs>
        <w:ind w:left="2880" w:hanging="360"/>
      </w:pPr>
      <w:rPr>
        <w:rFonts w:ascii="Wingdings" w:hAnsi="Wingdings" w:hint="default"/>
      </w:rPr>
    </w:lvl>
    <w:lvl w:ilvl="4" w:tplc="5C602528" w:tentative="1">
      <w:start w:val="1"/>
      <w:numFmt w:val="bullet"/>
      <w:lvlText w:val=""/>
      <w:lvlJc w:val="left"/>
      <w:pPr>
        <w:tabs>
          <w:tab w:val="num" w:pos="3600"/>
        </w:tabs>
        <w:ind w:left="3600" w:hanging="360"/>
      </w:pPr>
      <w:rPr>
        <w:rFonts w:ascii="Wingdings" w:hAnsi="Wingdings" w:hint="default"/>
      </w:rPr>
    </w:lvl>
    <w:lvl w:ilvl="5" w:tplc="B99C0848" w:tentative="1">
      <w:start w:val="1"/>
      <w:numFmt w:val="bullet"/>
      <w:lvlText w:val=""/>
      <w:lvlJc w:val="left"/>
      <w:pPr>
        <w:tabs>
          <w:tab w:val="num" w:pos="4320"/>
        </w:tabs>
        <w:ind w:left="4320" w:hanging="360"/>
      </w:pPr>
      <w:rPr>
        <w:rFonts w:ascii="Wingdings" w:hAnsi="Wingdings" w:hint="default"/>
      </w:rPr>
    </w:lvl>
    <w:lvl w:ilvl="6" w:tplc="0F20A6F4" w:tentative="1">
      <w:start w:val="1"/>
      <w:numFmt w:val="bullet"/>
      <w:lvlText w:val=""/>
      <w:lvlJc w:val="left"/>
      <w:pPr>
        <w:tabs>
          <w:tab w:val="num" w:pos="5040"/>
        </w:tabs>
        <w:ind w:left="5040" w:hanging="360"/>
      </w:pPr>
      <w:rPr>
        <w:rFonts w:ascii="Wingdings" w:hAnsi="Wingdings" w:hint="default"/>
      </w:rPr>
    </w:lvl>
    <w:lvl w:ilvl="7" w:tplc="63DA1E0E" w:tentative="1">
      <w:start w:val="1"/>
      <w:numFmt w:val="bullet"/>
      <w:lvlText w:val=""/>
      <w:lvlJc w:val="left"/>
      <w:pPr>
        <w:tabs>
          <w:tab w:val="num" w:pos="5760"/>
        </w:tabs>
        <w:ind w:left="5760" w:hanging="360"/>
      </w:pPr>
      <w:rPr>
        <w:rFonts w:ascii="Wingdings" w:hAnsi="Wingdings" w:hint="default"/>
      </w:rPr>
    </w:lvl>
    <w:lvl w:ilvl="8" w:tplc="6DF4B9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6744AA"/>
    <w:multiLevelType w:val="hybridMultilevel"/>
    <w:tmpl w:val="D550D94A"/>
    <w:lvl w:ilvl="0" w:tplc="998887F2">
      <w:start w:val="1"/>
      <w:numFmt w:val="bullet"/>
      <w:lvlText w:val="•"/>
      <w:lvlJc w:val="left"/>
      <w:pPr>
        <w:tabs>
          <w:tab w:val="num" w:pos="720"/>
        </w:tabs>
        <w:ind w:left="720" w:hanging="360"/>
      </w:pPr>
      <w:rPr>
        <w:rFonts w:ascii="Arial" w:hAnsi="Arial" w:hint="default"/>
      </w:rPr>
    </w:lvl>
    <w:lvl w:ilvl="1" w:tplc="EE8E754A" w:tentative="1">
      <w:start w:val="1"/>
      <w:numFmt w:val="bullet"/>
      <w:lvlText w:val="•"/>
      <w:lvlJc w:val="left"/>
      <w:pPr>
        <w:tabs>
          <w:tab w:val="num" w:pos="1440"/>
        </w:tabs>
        <w:ind w:left="1440" w:hanging="360"/>
      </w:pPr>
      <w:rPr>
        <w:rFonts w:ascii="Arial" w:hAnsi="Arial" w:hint="default"/>
      </w:rPr>
    </w:lvl>
    <w:lvl w:ilvl="2" w:tplc="35AC89DC" w:tentative="1">
      <w:start w:val="1"/>
      <w:numFmt w:val="bullet"/>
      <w:lvlText w:val="•"/>
      <w:lvlJc w:val="left"/>
      <w:pPr>
        <w:tabs>
          <w:tab w:val="num" w:pos="2160"/>
        </w:tabs>
        <w:ind w:left="2160" w:hanging="360"/>
      </w:pPr>
      <w:rPr>
        <w:rFonts w:ascii="Arial" w:hAnsi="Arial" w:hint="default"/>
      </w:rPr>
    </w:lvl>
    <w:lvl w:ilvl="3" w:tplc="51EE9740" w:tentative="1">
      <w:start w:val="1"/>
      <w:numFmt w:val="bullet"/>
      <w:lvlText w:val="•"/>
      <w:lvlJc w:val="left"/>
      <w:pPr>
        <w:tabs>
          <w:tab w:val="num" w:pos="2880"/>
        </w:tabs>
        <w:ind w:left="2880" w:hanging="360"/>
      </w:pPr>
      <w:rPr>
        <w:rFonts w:ascii="Arial" w:hAnsi="Arial" w:hint="default"/>
      </w:rPr>
    </w:lvl>
    <w:lvl w:ilvl="4" w:tplc="F9FA86B4" w:tentative="1">
      <w:start w:val="1"/>
      <w:numFmt w:val="bullet"/>
      <w:lvlText w:val="•"/>
      <w:lvlJc w:val="left"/>
      <w:pPr>
        <w:tabs>
          <w:tab w:val="num" w:pos="3600"/>
        </w:tabs>
        <w:ind w:left="3600" w:hanging="360"/>
      </w:pPr>
      <w:rPr>
        <w:rFonts w:ascii="Arial" w:hAnsi="Arial" w:hint="default"/>
      </w:rPr>
    </w:lvl>
    <w:lvl w:ilvl="5" w:tplc="48A2DD92" w:tentative="1">
      <w:start w:val="1"/>
      <w:numFmt w:val="bullet"/>
      <w:lvlText w:val="•"/>
      <w:lvlJc w:val="left"/>
      <w:pPr>
        <w:tabs>
          <w:tab w:val="num" w:pos="4320"/>
        </w:tabs>
        <w:ind w:left="4320" w:hanging="360"/>
      </w:pPr>
      <w:rPr>
        <w:rFonts w:ascii="Arial" w:hAnsi="Arial" w:hint="default"/>
      </w:rPr>
    </w:lvl>
    <w:lvl w:ilvl="6" w:tplc="AFE0B32A" w:tentative="1">
      <w:start w:val="1"/>
      <w:numFmt w:val="bullet"/>
      <w:lvlText w:val="•"/>
      <w:lvlJc w:val="left"/>
      <w:pPr>
        <w:tabs>
          <w:tab w:val="num" w:pos="5040"/>
        </w:tabs>
        <w:ind w:left="5040" w:hanging="360"/>
      </w:pPr>
      <w:rPr>
        <w:rFonts w:ascii="Arial" w:hAnsi="Arial" w:hint="default"/>
      </w:rPr>
    </w:lvl>
    <w:lvl w:ilvl="7" w:tplc="CA52256A" w:tentative="1">
      <w:start w:val="1"/>
      <w:numFmt w:val="bullet"/>
      <w:lvlText w:val="•"/>
      <w:lvlJc w:val="left"/>
      <w:pPr>
        <w:tabs>
          <w:tab w:val="num" w:pos="5760"/>
        </w:tabs>
        <w:ind w:left="5760" w:hanging="360"/>
      </w:pPr>
      <w:rPr>
        <w:rFonts w:ascii="Arial" w:hAnsi="Arial" w:hint="default"/>
      </w:rPr>
    </w:lvl>
    <w:lvl w:ilvl="8" w:tplc="A78E81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0305DF"/>
    <w:multiLevelType w:val="hybridMultilevel"/>
    <w:tmpl w:val="BFD27AE2"/>
    <w:lvl w:ilvl="0" w:tplc="B1CA18DC">
      <w:start w:val="1"/>
      <w:numFmt w:val="bullet"/>
      <w:lvlText w:val=""/>
      <w:lvlJc w:val="left"/>
      <w:pPr>
        <w:tabs>
          <w:tab w:val="num" w:pos="720"/>
        </w:tabs>
        <w:ind w:left="720" w:hanging="360"/>
      </w:pPr>
      <w:rPr>
        <w:rFonts w:ascii="Wingdings" w:hAnsi="Wingdings" w:hint="default"/>
      </w:rPr>
    </w:lvl>
    <w:lvl w:ilvl="1" w:tplc="19D095F6" w:tentative="1">
      <w:start w:val="1"/>
      <w:numFmt w:val="bullet"/>
      <w:lvlText w:val=""/>
      <w:lvlJc w:val="left"/>
      <w:pPr>
        <w:tabs>
          <w:tab w:val="num" w:pos="1440"/>
        </w:tabs>
        <w:ind w:left="1440" w:hanging="360"/>
      </w:pPr>
      <w:rPr>
        <w:rFonts w:ascii="Wingdings" w:hAnsi="Wingdings" w:hint="default"/>
      </w:rPr>
    </w:lvl>
    <w:lvl w:ilvl="2" w:tplc="7A56DAE0" w:tentative="1">
      <w:start w:val="1"/>
      <w:numFmt w:val="bullet"/>
      <w:lvlText w:val=""/>
      <w:lvlJc w:val="left"/>
      <w:pPr>
        <w:tabs>
          <w:tab w:val="num" w:pos="2160"/>
        </w:tabs>
        <w:ind w:left="2160" w:hanging="360"/>
      </w:pPr>
      <w:rPr>
        <w:rFonts w:ascii="Wingdings" w:hAnsi="Wingdings" w:hint="default"/>
      </w:rPr>
    </w:lvl>
    <w:lvl w:ilvl="3" w:tplc="3EBCFB3E" w:tentative="1">
      <w:start w:val="1"/>
      <w:numFmt w:val="bullet"/>
      <w:lvlText w:val=""/>
      <w:lvlJc w:val="left"/>
      <w:pPr>
        <w:tabs>
          <w:tab w:val="num" w:pos="2880"/>
        </w:tabs>
        <w:ind w:left="2880" w:hanging="360"/>
      </w:pPr>
      <w:rPr>
        <w:rFonts w:ascii="Wingdings" w:hAnsi="Wingdings" w:hint="default"/>
      </w:rPr>
    </w:lvl>
    <w:lvl w:ilvl="4" w:tplc="186C2934" w:tentative="1">
      <w:start w:val="1"/>
      <w:numFmt w:val="bullet"/>
      <w:lvlText w:val=""/>
      <w:lvlJc w:val="left"/>
      <w:pPr>
        <w:tabs>
          <w:tab w:val="num" w:pos="3600"/>
        </w:tabs>
        <w:ind w:left="3600" w:hanging="360"/>
      </w:pPr>
      <w:rPr>
        <w:rFonts w:ascii="Wingdings" w:hAnsi="Wingdings" w:hint="default"/>
      </w:rPr>
    </w:lvl>
    <w:lvl w:ilvl="5" w:tplc="0A12B218" w:tentative="1">
      <w:start w:val="1"/>
      <w:numFmt w:val="bullet"/>
      <w:lvlText w:val=""/>
      <w:lvlJc w:val="left"/>
      <w:pPr>
        <w:tabs>
          <w:tab w:val="num" w:pos="4320"/>
        </w:tabs>
        <w:ind w:left="4320" w:hanging="360"/>
      </w:pPr>
      <w:rPr>
        <w:rFonts w:ascii="Wingdings" w:hAnsi="Wingdings" w:hint="default"/>
      </w:rPr>
    </w:lvl>
    <w:lvl w:ilvl="6" w:tplc="D52CA2D8" w:tentative="1">
      <w:start w:val="1"/>
      <w:numFmt w:val="bullet"/>
      <w:lvlText w:val=""/>
      <w:lvlJc w:val="left"/>
      <w:pPr>
        <w:tabs>
          <w:tab w:val="num" w:pos="5040"/>
        </w:tabs>
        <w:ind w:left="5040" w:hanging="360"/>
      </w:pPr>
      <w:rPr>
        <w:rFonts w:ascii="Wingdings" w:hAnsi="Wingdings" w:hint="default"/>
      </w:rPr>
    </w:lvl>
    <w:lvl w:ilvl="7" w:tplc="B316D5B8" w:tentative="1">
      <w:start w:val="1"/>
      <w:numFmt w:val="bullet"/>
      <w:lvlText w:val=""/>
      <w:lvlJc w:val="left"/>
      <w:pPr>
        <w:tabs>
          <w:tab w:val="num" w:pos="5760"/>
        </w:tabs>
        <w:ind w:left="5760" w:hanging="360"/>
      </w:pPr>
      <w:rPr>
        <w:rFonts w:ascii="Wingdings" w:hAnsi="Wingdings" w:hint="default"/>
      </w:rPr>
    </w:lvl>
    <w:lvl w:ilvl="8" w:tplc="9FB697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65A90"/>
    <w:multiLevelType w:val="hybridMultilevel"/>
    <w:tmpl w:val="39F031DA"/>
    <w:lvl w:ilvl="0" w:tplc="C05C194C">
      <w:start w:val="1"/>
      <w:numFmt w:val="bullet"/>
      <w:lvlText w:val=""/>
      <w:lvlJc w:val="left"/>
      <w:pPr>
        <w:tabs>
          <w:tab w:val="num" w:pos="720"/>
        </w:tabs>
        <w:ind w:left="720" w:hanging="360"/>
      </w:pPr>
      <w:rPr>
        <w:rFonts w:ascii="Wingdings" w:hAnsi="Wingdings" w:hint="default"/>
      </w:rPr>
    </w:lvl>
    <w:lvl w:ilvl="1" w:tplc="BF5E01CA" w:tentative="1">
      <w:start w:val="1"/>
      <w:numFmt w:val="bullet"/>
      <w:lvlText w:val=""/>
      <w:lvlJc w:val="left"/>
      <w:pPr>
        <w:tabs>
          <w:tab w:val="num" w:pos="1440"/>
        </w:tabs>
        <w:ind w:left="1440" w:hanging="360"/>
      </w:pPr>
      <w:rPr>
        <w:rFonts w:ascii="Wingdings" w:hAnsi="Wingdings" w:hint="default"/>
      </w:rPr>
    </w:lvl>
    <w:lvl w:ilvl="2" w:tplc="168C8184" w:tentative="1">
      <w:start w:val="1"/>
      <w:numFmt w:val="bullet"/>
      <w:lvlText w:val=""/>
      <w:lvlJc w:val="left"/>
      <w:pPr>
        <w:tabs>
          <w:tab w:val="num" w:pos="2160"/>
        </w:tabs>
        <w:ind w:left="2160" w:hanging="360"/>
      </w:pPr>
      <w:rPr>
        <w:rFonts w:ascii="Wingdings" w:hAnsi="Wingdings" w:hint="default"/>
      </w:rPr>
    </w:lvl>
    <w:lvl w:ilvl="3" w:tplc="2D70A196" w:tentative="1">
      <w:start w:val="1"/>
      <w:numFmt w:val="bullet"/>
      <w:lvlText w:val=""/>
      <w:lvlJc w:val="left"/>
      <w:pPr>
        <w:tabs>
          <w:tab w:val="num" w:pos="2880"/>
        </w:tabs>
        <w:ind w:left="2880" w:hanging="360"/>
      </w:pPr>
      <w:rPr>
        <w:rFonts w:ascii="Wingdings" w:hAnsi="Wingdings" w:hint="default"/>
      </w:rPr>
    </w:lvl>
    <w:lvl w:ilvl="4" w:tplc="7BCCD552" w:tentative="1">
      <w:start w:val="1"/>
      <w:numFmt w:val="bullet"/>
      <w:lvlText w:val=""/>
      <w:lvlJc w:val="left"/>
      <w:pPr>
        <w:tabs>
          <w:tab w:val="num" w:pos="3600"/>
        </w:tabs>
        <w:ind w:left="3600" w:hanging="360"/>
      </w:pPr>
      <w:rPr>
        <w:rFonts w:ascii="Wingdings" w:hAnsi="Wingdings" w:hint="default"/>
      </w:rPr>
    </w:lvl>
    <w:lvl w:ilvl="5" w:tplc="5678964C" w:tentative="1">
      <w:start w:val="1"/>
      <w:numFmt w:val="bullet"/>
      <w:lvlText w:val=""/>
      <w:lvlJc w:val="left"/>
      <w:pPr>
        <w:tabs>
          <w:tab w:val="num" w:pos="4320"/>
        </w:tabs>
        <w:ind w:left="4320" w:hanging="360"/>
      </w:pPr>
      <w:rPr>
        <w:rFonts w:ascii="Wingdings" w:hAnsi="Wingdings" w:hint="default"/>
      </w:rPr>
    </w:lvl>
    <w:lvl w:ilvl="6" w:tplc="8BEC846E" w:tentative="1">
      <w:start w:val="1"/>
      <w:numFmt w:val="bullet"/>
      <w:lvlText w:val=""/>
      <w:lvlJc w:val="left"/>
      <w:pPr>
        <w:tabs>
          <w:tab w:val="num" w:pos="5040"/>
        </w:tabs>
        <w:ind w:left="5040" w:hanging="360"/>
      </w:pPr>
      <w:rPr>
        <w:rFonts w:ascii="Wingdings" w:hAnsi="Wingdings" w:hint="default"/>
      </w:rPr>
    </w:lvl>
    <w:lvl w:ilvl="7" w:tplc="D62CD3B4" w:tentative="1">
      <w:start w:val="1"/>
      <w:numFmt w:val="bullet"/>
      <w:lvlText w:val=""/>
      <w:lvlJc w:val="left"/>
      <w:pPr>
        <w:tabs>
          <w:tab w:val="num" w:pos="5760"/>
        </w:tabs>
        <w:ind w:left="5760" w:hanging="360"/>
      </w:pPr>
      <w:rPr>
        <w:rFonts w:ascii="Wingdings" w:hAnsi="Wingdings" w:hint="default"/>
      </w:rPr>
    </w:lvl>
    <w:lvl w:ilvl="8" w:tplc="6250EB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CC1EB2"/>
    <w:multiLevelType w:val="hybridMultilevel"/>
    <w:tmpl w:val="9968B426"/>
    <w:lvl w:ilvl="0" w:tplc="23E8FD6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F92B64"/>
    <w:multiLevelType w:val="hybridMultilevel"/>
    <w:tmpl w:val="9B463296"/>
    <w:lvl w:ilvl="0" w:tplc="23E8FD6E">
      <w:start w:val="1"/>
      <w:numFmt w:val="bullet"/>
      <w:lvlText w:val=""/>
      <w:lvlJc w:val="left"/>
      <w:pPr>
        <w:tabs>
          <w:tab w:val="num" w:pos="720"/>
        </w:tabs>
        <w:ind w:left="720" w:hanging="360"/>
      </w:pPr>
      <w:rPr>
        <w:rFonts w:ascii="Wingdings" w:hAnsi="Wingdings" w:hint="default"/>
      </w:rPr>
    </w:lvl>
    <w:lvl w:ilvl="1" w:tplc="2DBE4950" w:tentative="1">
      <w:start w:val="1"/>
      <w:numFmt w:val="bullet"/>
      <w:lvlText w:val=""/>
      <w:lvlJc w:val="left"/>
      <w:pPr>
        <w:tabs>
          <w:tab w:val="num" w:pos="1440"/>
        </w:tabs>
        <w:ind w:left="1440" w:hanging="360"/>
      </w:pPr>
      <w:rPr>
        <w:rFonts w:ascii="Wingdings" w:hAnsi="Wingdings" w:hint="default"/>
      </w:rPr>
    </w:lvl>
    <w:lvl w:ilvl="2" w:tplc="0B5E9ABC" w:tentative="1">
      <w:start w:val="1"/>
      <w:numFmt w:val="bullet"/>
      <w:lvlText w:val=""/>
      <w:lvlJc w:val="left"/>
      <w:pPr>
        <w:tabs>
          <w:tab w:val="num" w:pos="2160"/>
        </w:tabs>
        <w:ind w:left="2160" w:hanging="360"/>
      </w:pPr>
      <w:rPr>
        <w:rFonts w:ascii="Wingdings" w:hAnsi="Wingdings" w:hint="default"/>
      </w:rPr>
    </w:lvl>
    <w:lvl w:ilvl="3" w:tplc="CF1C0100" w:tentative="1">
      <w:start w:val="1"/>
      <w:numFmt w:val="bullet"/>
      <w:lvlText w:val=""/>
      <w:lvlJc w:val="left"/>
      <w:pPr>
        <w:tabs>
          <w:tab w:val="num" w:pos="2880"/>
        </w:tabs>
        <w:ind w:left="2880" w:hanging="360"/>
      </w:pPr>
      <w:rPr>
        <w:rFonts w:ascii="Wingdings" w:hAnsi="Wingdings" w:hint="default"/>
      </w:rPr>
    </w:lvl>
    <w:lvl w:ilvl="4" w:tplc="B8C4C032" w:tentative="1">
      <w:start w:val="1"/>
      <w:numFmt w:val="bullet"/>
      <w:lvlText w:val=""/>
      <w:lvlJc w:val="left"/>
      <w:pPr>
        <w:tabs>
          <w:tab w:val="num" w:pos="3600"/>
        </w:tabs>
        <w:ind w:left="3600" w:hanging="360"/>
      </w:pPr>
      <w:rPr>
        <w:rFonts w:ascii="Wingdings" w:hAnsi="Wingdings" w:hint="default"/>
      </w:rPr>
    </w:lvl>
    <w:lvl w:ilvl="5" w:tplc="B57289A4" w:tentative="1">
      <w:start w:val="1"/>
      <w:numFmt w:val="bullet"/>
      <w:lvlText w:val=""/>
      <w:lvlJc w:val="left"/>
      <w:pPr>
        <w:tabs>
          <w:tab w:val="num" w:pos="4320"/>
        </w:tabs>
        <w:ind w:left="4320" w:hanging="360"/>
      </w:pPr>
      <w:rPr>
        <w:rFonts w:ascii="Wingdings" w:hAnsi="Wingdings" w:hint="default"/>
      </w:rPr>
    </w:lvl>
    <w:lvl w:ilvl="6" w:tplc="BA561BB6" w:tentative="1">
      <w:start w:val="1"/>
      <w:numFmt w:val="bullet"/>
      <w:lvlText w:val=""/>
      <w:lvlJc w:val="left"/>
      <w:pPr>
        <w:tabs>
          <w:tab w:val="num" w:pos="5040"/>
        </w:tabs>
        <w:ind w:left="5040" w:hanging="360"/>
      </w:pPr>
      <w:rPr>
        <w:rFonts w:ascii="Wingdings" w:hAnsi="Wingdings" w:hint="default"/>
      </w:rPr>
    </w:lvl>
    <w:lvl w:ilvl="7" w:tplc="82B28FC6" w:tentative="1">
      <w:start w:val="1"/>
      <w:numFmt w:val="bullet"/>
      <w:lvlText w:val=""/>
      <w:lvlJc w:val="left"/>
      <w:pPr>
        <w:tabs>
          <w:tab w:val="num" w:pos="5760"/>
        </w:tabs>
        <w:ind w:left="5760" w:hanging="360"/>
      </w:pPr>
      <w:rPr>
        <w:rFonts w:ascii="Wingdings" w:hAnsi="Wingdings" w:hint="default"/>
      </w:rPr>
    </w:lvl>
    <w:lvl w:ilvl="8" w:tplc="2070BE9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6"/>
  </w:num>
  <w:num w:numId="7">
    <w:abstractNumId w:val="11"/>
  </w:num>
  <w:num w:numId="8">
    <w:abstractNumId w:val="3"/>
  </w:num>
  <w:num w:numId="9">
    <w:abstractNumId w:val="1"/>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16"/>
    <w:rsid w:val="000A11F8"/>
    <w:rsid w:val="00145CDD"/>
    <w:rsid w:val="00206C64"/>
    <w:rsid w:val="00261714"/>
    <w:rsid w:val="004E5516"/>
    <w:rsid w:val="00772CC5"/>
    <w:rsid w:val="007A6DDB"/>
    <w:rsid w:val="00C84772"/>
    <w:rsid w:val="00D7712F"/>
    <w:rsid w:val="00E024EC"/>
    <w:rsid w:val="00EC667A"/>
    <w:rsid w:val="00FD5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0058C-5A25-42C9-808D-FAFB7D6C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516"/>
    <w:pPr>
      <w:ind w:left="720"/>
      <w:contextualSpacing/>
    </w:pPr>
  </w:style>
  <w:style w:type="character" w:styleId="-">
    <w:name w:val="Hyperlink"/>
    <w:basedOn w:val="a0"/>
    <w:uiPriority w:val="99"/>
    <w:unhideWhenUsed/>
    <w:rsid w:val="004E5516"/>
    <w:rPr>
      <w:color w:val="0563C1" w:themeColor="hyperlink"/>
      <w:u w:val="single"/>
    </w:rPr>
  </w:style>
  <w:style w:type="paragraph" w:customStyle="1" w:styleId="Default">
    <w:name w:val="Default"/>
    <w:rsid w:val="00772CC5"/>
    <w:pPr>
      <w:autoSpaceDE w:val="0"/>
      <w:autoSpaceDN w:val="0"/>
      <w:adjustRightInd w:val="0"/>
      <w:spacing w:after="0" w:line="240" w:lineRule="auto"/>
    </w:pPr>
    <w:rPr>
      <w:rFonts w:ascii="Calibri" w:hAnsi="Calibri" w:cs="Calibri"/>
      <w:color w:val="000000"/>
      <w:sz w:val="24"/>
      <w:szCs w:val="24"/>
    </w:rPr>
  </w:style>
  <w:style w:type="paragraph" w:styleId="a4">
    <w:name w:val="header"/>
    <w:basedOn w:val="a"/>
    <w:link w:val="Char"/>
    <w:uiPriority w:val="99"/>
    <w:unhideWhenUsed/>
    <w:rsid w:val="00D7712F"/>
    <w:pPr>
      <w:tabs>
        <w:tab w:val="center" w:pos="4153"/>
        <w:tab w:val="right" w:pos="8306"/>
      </w:tabs>
      <w:spacing w:after="0" w:line="240" w:lineRule="auto"/>
    </w:pPr>
  </w:style>
  <w:style w:type="character" w:customStyle="1" w:styleId="Char">
    <w:name w:val="Κεφαλίδα Char"/>
    <w:basedOn w:val="a0"/>
    <w:link w:val="a4"/>
    <w:uiPriority w:val="99"/>
    <w:rsid w:val="00D7712F"/>
  </w:style>
  <w:style w:type="paragraph" w:styleId="a5">
    <w:name w:val="footer"/>
    <w:basedOn w:val="a"/>
    <w:link w:val="Char0"/>
    <w:uiPriority w:val="99"/>
    <w:unhideWhenUsed/>
    <w:rsid w:val="00D7712F"/>
    <w:pPr>
      <w:tabs>
        <w:tab w:val="center" w:pos="4153"/>
        <w:tab w:val="right" w:pos="8306"/>
      </w:tabs>
      <w:spacing w:after="0" w:line="240" w:lineRule="auto"/>
    </w:pPr>
  </w:style>
  <w:style w:type="character" w:customStyle="1" w:styleId="Char0">
    <w:name w:val="Υποσέλιδο Char"/>
    <w:basedOn w:val="a0"/>
    <w:link w:val="a5"/>
    <w:uiPriority w:val="99"/>
    <w:rsid w:val="00D7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3517">
      <w:bodyDiv w:val="1"/>
      <w:marLeft w:val="0"/>
      <w:marRight w:val="0"/>
      <w:marTop w:val="0"/>
      <w:marBottom w:val="0"/>
      <w:divBdr>
        <w:top w:val="none" w:sz="0" w:space="0" w:color="auto"/>
        <w:left w:val="none" w:sz="0" w:space="0" w:color="auto"/>
        <w:bottom w:val="none" w:sz="0" w:space="0" w:color="auto"/>
        <w:right w:val="none" w:sz="0" w:space="0" w:color="auto"/>
      </w:divBdr>
      <w:divsChild>
        <w:div w:id="1054619343">
          <w:marLeft w:val="547"/>
          <w:marRight w:val="0"/>
          <w:marTop w:val="86"/>
          <w:marBottom w:val="0"/>
          <w:divBdr>
            <w:top w:val="none" w:sz="0" w:space="0" w:color="auto"/>
            <w:left w:val="none" w:sz="0" w:space="0" w:color="auto"/>
            <w:bottom w:val="none" w:sz="0" w:space="0" w:color="auto"/>
            <w:right w:val="none" w:sz="0" w:space="0" w:color="auto"/>
          </w:divBdr>
        </w:div>
        <w:div w:id="468910083">
          <w:marLeft w:val="547"/>
          <w:marRight w:val="0"/>
          <w:marTop w:val="86"/>
          <w:marBottom w:val="0"/>
          <w:divBdr>
            <w:top w:val="none" w:sz="0" w:space="0" w:color="auto"/>
            <w:left w:val="none" w:sz="0" w:space="0" w:color="auto"/>
            <w:bottom w:val="none" w:sz="0" w:space="0" w:color="auto"/>
            <w:right w:val="none" w:sz="0" w:space="0" w:color="auto"/>
          </w:divBdr>
        </w:div>
      </w:divsChild>
    </w:div>
    <w:div w:id="235943127">
      <w:bodyDiv w:val="1"/>
      <w:marLeft w:val="0"/>
      <w:marRight w:val="0"/>
      <w:marTop w:val="0"/>
      <w:marBottom w:val="0"/>
      <w:divBdr>
        <w:top w:val="none" w:sz="0" w:space="0" w:color="auto"/>
        <w:left w:val="none" w:sz="0" w:space="0" w:color="auto"/>
        <w:bottom w:val="none" w:sz="0" w:space="0" w:color="auto"/>
        <w:right w:val="none" w:sz="0" w:space="0" w:color="auto"/>
      </w:divBdr>
      <w:divsChild>
        <w:div w:id="1399130451">
          <w:marLeft w:val="994"/>
          <w:marRight w:val="0"/>
          <w:marTop w:val="86"/>
          <w:marBottom w:val="200"/>
          <w:divBdr>
            <w:top w:val="none" w:sz="0" w:space="0" w:color="auto"/>
            <w:left w:val="none" w:sz="0" w:space="0" w:color="auto"/>
            <w:bottom w:val="none" w:sz="0" w:space="0" w:color="auto"/>
            <w:right w:val="none" w:sz="0" w:space="0" w:color="auto"/>
          </w:divBdr>
        </w:div>
        <w:div w:id="1532112724">
          <w:marLeft w:val="994"/>
          <w:marRight w:val="0"/>
          <w:marTop w:val="86"/>
          <w:marBottom w:val="200"/>
          <w:divBdr>
            <w:top w:val="none" w:sz="0" w:space="0" w:color="auto"/>
            <w:left w:val="none" w:sz="0" w:space="0" w:color="auto"/>
            <w:bottom w:val="none" w:sz="0" w:space="0" w:color="auto"/>
            <w:right w:val="none" w:sz="0" w:space="0" w:color="auto"/>
          </w:divBdr>
        </w:div>
        <w:div w:id="1788545236">
          <w:marLeft w:val="994"/>
          <w:marRight w:val="0"/>
          <w:marTop w:val="86"/>
          <w:marBottom w:val="200"/>
          <w:divBdr>
            <w:top w:val="none" w:sz="0" w:space="0" w:color="auto"/>
            <w:left w:val="none" w:sz="0" w:space="0" w:color="auto"/>
            <w:bottom w:val="none" w:sz="0" w:space="0" w:color="auto"/>
            <w:right w:val="none" w:sz="0" w:space="0" w:color="auto"/>
          </w:divBdr>
        </w:div>
        <w:div w:id="1490949415">
          <w:marLeft w:val="994"/>
          <w:marRight w:val="0"/>
          <w:marTop w:val="77"/>
          <w:marBottom w:val="200"/>
          <w:divBdr>
            <w:top w:val="none" w:sz="0" w:space="0" w:color="auto"/>
            <w:left w:val="none" w:sz="0" w:space="0" w:color="auto"/>
            <w:bottom w:val="none" w:sz="0" w:space="0" w:color="auto"/>
            <w:right w:val="none" w:sz="0" w:space="0" w:color="auto"/>
          </w:divBdr>
        </w:div>
      </w:divsChild>
    </w:div>
    <w:div w:id="266547505">
      <w:bodyDiv w:val="1"/>
      <w:marLeft w:val="0"/>
      <w:marRight w:val="0"/>
      <w:marTop w:val="0"/>
      <w:marBottom w:val="0"/>
      <w:divBdr>
        <w:top w:val="none" w:sz="0" w:space="0" w:color="auto"/>
        <w:left w:val="none" w:sz="0" w:space="0" w:color="auto"/>
        <w:bottom w:val="none" w:sz="0" w:space="0" w:color="auto"/>
        <w:right w:val="none" w:sz="0" w:space="0" w:color="auto"/>
      </w:divBdr>
    </w:div>
    <w:div w:id="345400644">
      <w:bodyDiv w:val="1"/>
      <w:marLeft w:val="0"/>
      <w:marRight w:val="0"/>
      <w:marTop w:val="0"/>
      <w:marBottom w:val="0"/>
      <w:divBdr>
        <w:top w:val="none" w:sz="0" w:space="0" w:color="auto"/>
        <w:left w:val="none" w:sz="0" w:space="0" w:color="auto"/>
        <w:bottom w:val="none" w:sz="0" w:space="0" w:color="auto"/>
        <w:right w:val="none" w:sz="0" w:space="0" w:color="auto"/>
      </w:divBdr>
      <w:divsChild>
        <w:div w:id="396827571">
          <w:marLeft w:val="994"/>
          <w:marRight w:val="0"/>
          <w:marTop w:val="86"/>
          <w:marBottom w:val="200"/>
          <w:divBdr>
            <w:top w:val="none" w:sz="0" w:space="0" w:color="auto"/>
            <w:left w:val="none" w:sz="0" w:space="0" w:color="auto"/>
            <w:bottom w:val="none" w:sz="0" w:space="0" w:color="auto"/>
            <w:right w:val="none" w:sz="0" w:space="0" w:color="auto"/>
          </w:divBdr>
        </w:div>
        <w:div w:id="1620531273">
          <w:marLeft w:val="994"/>
          <w:marRight w:val="0"/>
          <w:marTop w:val="86"/>
          <w:marBottom w:val="200"/>
          <w:divBdr>
            <w:top w:val="none" w:sz="0" w:space="0" w:color="auto"/>
            <w:left w:val="none" w:sz="0" w:space="0" w:color="auto"/>
            <w:bottom w:val="none" w:sz="0" w:space="0" w:color="auto"/>
            <w:right w:val="none" w:sz="0" w:space="0" w:color="auto"/>
          </w:divBdr>
        </w:div>
        <w:div w:id="2028674523">
          <w:marLeft w:val="994"/>
          <w:marRight w:val="0"/>
          <w:marTop w:val="86"/>
          <w:marBottom w:val="200"/>
          <w:divBdr>
            <w:top w:val="none" w:sz="0" w:space="0" w:color="auto"/>
            <w:left w:val="none" w:sz="0" w:space="0" w:color="auto"/>
            <w:bottom w:val="none" w:sz="0" w:space="0" w:color="auto"/>
            <w:right w:val="none" w:sz="0" w:space="0" w:color="auto"/>
          </w:divBdr>
        </w:div>
        <w:div w:id="878207791">
          <w:marLeft w:val="994"/>
          <w:marRight w:val="0"/>
          <w:marTop w:val="86"/>
          <w:marBottom w:val="200"/>
          <w:divBdr>
            <w:top w:val="none" w:sz="0" w:space="0" w:color="auto"/>
            <w:left w:val="none" w:sz="0" w:space="0" w:color="auto"/>
            <w:bottom w:val="none" w:sz="0" w:space="0" w:color="auto"/>
            <w:right w:val="none" w:sz="0" w:space="0" w:color="auto"/>
          </w:divBdr>
        </w:div>
      </w:divsChild>
    </w:div>
    <w:div w:id="461964649">
      <w:bodyDiv w:val="1"/>
      <w:marLeft w:val="0"/>
      <w:marRight w:val="0"/>
      <w:marTop w:val="0"/>
      <w:marBottom w:val="0"/>
      <w:divBdr>
        <w:top w:val="none" w:sz="0" w:space="0" w:color="auto"/>
        <w:left w:val="none" w:sz="0" w:space="0" w:color="auto"/>
        <w:bottom w:val="none" w:sz="0" w:space="0" w:color="auto"/>
        <w:right w:val="none" w:sz="0" w:space="0" w:color="auto"/>
      </w:divBdr>
    </w:div>
    <w:div w:id="618998728">
      <w:bodyDiv w:val="1"/>
      <w:marLeft w:val="0"/>
      <w:marRight w:val="0"/>
      <w:marTop w:val="0"/>
      <w:marBottom w:val="0"/>
      <w:divBdr>
        <w:top w:val="none" w:sz="0" w:space="0" w:color="auto"/>
        <w:left w:val="none" w:sz="0" w:space="0" w:color="auto"/>
        <w:bottom w:val="none" w:sz="0" w:space="0" w:color="auto"/>
        <w:right w:val="none" w:sz="0" w:space="0" w:color="auto"/>
      </w:divBdr>
    </w:div>
    <w:div w:id="679625394">
      <w:bodyDiv w:val="1"/>
      <w:marLeft w:val="0"/>
      <w:marRight w:val="0"/>
      <w:marTop w:val="0"/>
      <w:marBottom w:val="0"/>
      <w:divBdr>
        <w:top w:val="none" w:sz="0" w:space="0" w:color="auto"/>
        <w:left w:val="none" w:sz="0" w:space="0" w:color="auto"/>
        <w:bottom w:val="none" w:sz="0" w:space="0" w:color="auto"/>
        <w:right w:val="none" w:sz="0" w:space="0" w:color="auto"/>
      </w:divBdr>
      <w:divsChild>
        <w:div w:id="588150286">
          <w:marLeft w:val="994"/>
          <w:marRight w:val="0"/>
          <w:marTop w:val="86"/>
          <w:marBottom w:val="200"/>
          <w:divBdr>
            <w:top w:val="none" w:sz="0" w:space="0" w:color="auto"/>
            <w:left w:val="none" w:sz="0" w:space="0" w:color="auto"/>
            <w:bottom w:val="none" w:sz="0" w:space="0" w:color="auto"/>
            <w:right w:val="none" w:sz="0" w:space="0" w:color="auto"/>
          </w:divBdr>
        </w:div>
      </w:divsChild>
    </w:div>
    <w:div w:id="737094261">
      <w:bodyDiv w:val="1"/>
      <w:marLeft w:val="0"/>
      <w:marRight w:val="0"/>
      <w:marTop w:val="0"/>
      <w:marBottom w:val="0"/>
      <w:divBdr>
        <w:top w:val="none" w:sz="0" w:space="0" w:color="auto"/>
        <w:left w:val="none" w:sz="0" w:space="0" w:color="auto"/>
        <w:bottom w:val="none" w:sz="0" w:space="0" w:color="auto"/>
        <w:right w:val="none" w:sz="0" w:space="0" w:color="auto"/>
      </w:divBdr>
    </w:div>
    <w:div w:id="883367099">
      <w:bodyDiv w:val="1"/>
      <w:marLeft w:val="0"/>
      <w:marRight w:val="0"/>
      <w:marTop w:val="0"/>
      <w:marBottom w:val="0"/>
      <w:divBdr>
        <w:top w:val="none" w:sz="0" w:space="0" w:color="auto"/>
        <w:left w:val="none" w:sz="0" w:space="0" w:color="auto"/>
        <w:bottom w:val="none" w:sz="0" w:space="0" w:color="auto"/>
        <w:right w:val="none" w:sz="0" w:space="0" w:color="auto"/>
      </w:divBdr>
      <w:divsChild>
        <w:div w:id="85469855">
          <w:marLeft w:val="547"/>
          <w:marRight w:val="0"/>
          <w:marTop w:val="86"/>
          <w:marBottom w:val="0"/>
          <w:divBdr>
            <w:top w:val="none" w:sz="0" w:space="0" w:color="auto"/>
            <w:left w:val="none" w:sz="0" w:space="0" w:color="auto"/>
            <w:bottom w:val="none" w:sz="0" w:space="0" w:color="auto"/>
            <w:right w:val="none" w:sz="0" w:space="0" w:color="auto"/>
          </w:divBdr>
        </w:div>
        <w:div w:id="1713923891">
          <w:marLeft w:val="547"/>
          <w:marRight w:val="0"/>
          <w:marTop w:val="86"/>
          <w:marBottom w:val="0"/>
          <w:divBdr>
            <w:top w:val="none" w:sz="0" w:space="0" w:color="auto"/>
            <w:left w:val="none" w:sz="0" w:space="0" w:color="auto"/>
            <w:bottom w:val="none" w:sz="0" w:space="0" w:color="auto"/>
            <w:right w:val="none" w:sz="0" w:space="0" w:color="auto"/>
          </w:divBdr>
        </w:div>
      </w:divsChild>
    </w:div>
    <w:div w:id="911087078">
      <w:bodyDiv w:val="1"/>
      <w:marLeft w:val="0"/>
      <w:marRight w:val="0"/>
      <w:marTop w:val="0"/>
      <w:marBottom w:val="0"/>
      <w:divBdr>
        <w:top w:val="none" w:sz="0" w:space="0" w:color="auto"/>
        <w:left w:val="none" w:sz="0" w:space="0" w:color="auto"/>
        <w:bottom w:val="none" w:sz="0" w:space="0" w:color="auto"/>
        <w:right w:val="none" w:sz="0" w:space="0" w:color="auto"/>
      </w:divBdr>
      <w:divsChild>
        <w:div w:id="617028199">
          <w:marLeft w:val="547"/>
          <w:marRight w:val="0"/>
          <w:marTop w:val="86"/>
          <w:marBottom w:val="0"/>
          <w:divBdr>
            <w:top w:val="none" w:sz="0" w:space="0" w:color="auto"/>
            <w:left w:val="none" w:sz="0" w:space="0" w:color="auto"/>
            <w:bottom w:val="none" w:sz="0" w:space="0" w:color="auto"/>
            <w:right w:val="none" w:sz="0" w:space="0" w:color="auto"/>
          </w:divBdr>
        </w:div>
        <w:div w:id="979074239">
          <w:marLeft w:val="547"/>
          <w:marRight w:val="0"/>
          <w:marTop w:val="86"/>
          <w:marBottom w:val="0"/>
          <w:divBdr>
            <w:top w:val="none" w:sz="0" w:space="0" w:color="auto"/>
            <w:left w:val="none" w:sz="0" w:space="0" w:color="auto"/>
            <w:bottom w:val="none" w:sz="0" w:space="0" w:color="auto"/>
            <w:right w:val="none" w:sz="0" w:space="0" w:color="auto"/>
          </w:divBdr>
        </w:div>
        <w:div w:id="1962875187">
          <w:marLeft w:val="547"/>
          <w:marRight w:val="0"/>
          <w:marTop w:val="86"/>
          <w:marBottom w:val="0"/>
          <w:divBdr>
            <w:top w:val="none" w:sz="0" w:space="0" w:color="auto"/>
            <w:left w:val="none" w:sz="0" w:space="0" w:color="auto"/>
            <w:bottom w:val="none" w:sz="0" w:space="0" w:color="auto"/>
            <w:right w:val="none" w:sz="0" w:space="0" w:color="auto"/>
          </w:divBdr>
        </w:div>
        <w:div w:id="1381711801">
          <w:marLeft w:val="547"/>
          <w:marRight w:val="0"/>
          <w:marTop w:val="86"/>
          <w:marBottom w:val="0"/>
          <w:divBdr>
            <w:top w:val="none" w:sz="0" w:space="0" w:color="auto"/>
            <w:left w:val="none" w:sz="0" w:space="0" w:color="auto"/>
            <w:bottom w:val="none" w:sz="0" w:space="0" w:color="auto"/>
            <w:right w:val="none" w:sz="0" w:space="0" w:color="auto"/>
          </w:divBdr>
        </w:div>
      </w:divsChild>
    </w:div>
    <w:div w:id="1046565825">
      <w:bodyDiv w:val="1"/>
      <w:marLeft w:val="0"/>
      <w:marRight w:val="0"/>
      <w:marTop w:val="0"/>
      <w:marBottom w:val="0"/>
      <w:divBdr>
        <w:top w:val="none" w:sz="0" w:space="0" w:color="auto"/>
        <w:left w:val="none" w:sz="0" w:space="0" w:color="auto"/>
        <w:bottom w:val="none" w:sz="0" w:space="0" w:color="auto"/>
        <w:right w:val="none" w:sz="0" w:space="0" w:color="auto"/>
      </w:divBdr>
      <w:divsChild>
        <w:div w:id="1351758817">
          <w:marLeft w:val="547"/>
          <w:marRight w:val="0"/>
          <w:marTop w:val="86"/>
          <w:marBottom w:val="0"/>
          <w:divBdr>
            <w:top w:val="none" w:sz="0" w:space="0" w:color="auto"/>
            <w:left w:val="none" w:sz="0" w:space="0" w:color="auto"/>
            <w:bottom w:val="none" w:sz="0" w:space="0" w:color="auto"/>
            <w:right w:val="none" w:sz="0" w:space="0" w:color="auto"/>
          </w:divBdr>
        </w:div>
        <w:div w:id="1775713336">
          <w:marLeft w:val="547"/>
          <w:marRight w:val="0"/>
          <w:marTop w:val="86"/>
          <w:marBottom w:val="0"/>
          <w:divBdr>
            <w:top w:val="none" w:sz="0" w:space="0" w:color="auto"/>
            <w:left w:val="none" w:sz="0" w:space="0" w:color="auto"/>
            <w:bottom w:val="none" w:sz="0" w:space="0" w:color="auto"/>
            <w:right w:val="none" w:sz="0" w:space="0" w:color="auto"/>
          </w:divBdr>
        </w:div>
      </w:divsChild>
    </w:div>
    <w:div w:id="1278490473">
      <w:bodyDiv w:val="1"/>
      <w:marLeft w:val="0"/>
      <w:marRight w:val="0"/>
      <w:marTop w:val="0"/>
      <w:marBottom w:val="0"/>
      <w:divBdr>
        <w:top w:val="none" w:sz="0" w:space="0" w:color="auto"/>
        <w:left w:val="none" w:sz="0" w:space="0" w:color="auto"/>
        <w:bottom w:val="none" w:sz="0" w:space="0" w:color="auto"/>
        <w:right w:val="none" w:sz="0" w:space="0" w:color="auto"/>
      </w:divBdr>
    </w:div>
    <w:div w:id="1348021724">
      <w:bodyDiv w:val="1"/>
      <w:marLeft w:val="0"/>
      <w:marRight w:val="0"/>
      <w:marTop w:val="0"/>
      <w:marBottom w:val="0"/>
      <w:divBdr>
        <w:top w:val="none" w:sz="0" w:space="0" w:color="auto"/>
        <w:left w:val="none" w:sz="0" w:space="0" w:color="auto"/>
        <w:bottom w:val="none" w:sz="0" w:space="0" w:color="auto"/>
        <w:right w:val="none" w:sz="0" w:space="0" w:color="auto"/>
      </w:divBdr>
    </w:div>
    <w:div w:id="1469325117">
      <w:bodyDiv w:val="1"/>
      <w:marLeft w:val="0"/>
      <w:marRight w:val="0"/>
      <w:marTop w:val="0"/>
      <w:marBottom w:val="0"/>
      <w:divBdr>
        <w:top w:val="none" w:sz="0" w:space="0" w:color="auto"/>
        <w:left w:val="none" w:sz="0" w:space="0" w:color="auto"/>
        <w:bottom w:val="none" w:sz="0" w:space="0" w:color="auto"/>
        <w:right w:val="none" w:sz="0" w:space="0" w:color="auto"/>
      </w:divBdr>
    </w:div>
    <w:div w:id="1601718034">
      <w:bodyDiv w:val="1"/>
      <w:marLeft w:val="0"/>
      <w:marRight w:val="0"/>
      <w:marTop w:val="0"/>
      <w:marBottom w:val="0"/>
      <w:divBdr>
        <w:top w:val="none" w:sz="0" w:space="0" w:color="auto"/>
        <w:left w:val="none" w:sz="0" w:space="0" w:color="auto"/>
        <w:bottom w:val="none" w:sz="0" w:space="0" w:color="auto"/>
        <w:right w:val="none" w:sz="0" w:space="0" w:color="auto"/>
      </w:divBdr>
      <w:divsChild>
        <w:div w:id="1662192713">
          <w:marLeft w:val="547"/>
          <w:marRight w:val="0"/>
          <w:marTop w:val="86"/>
          <w:marBottom w:val="0"/>
          <w:divBdr>
            <w:top w:val="none" w:sz="0" w:space="0" w:color="auto"/>
            <w:left w:val="none" w:sz="0" w:space="0" w:color="auto"/>
            <w:bottom w:val="none" w:sz="0" w:space="0" w:color="auto"/>
            <w:right w:val="none" w:sz="0" w:space="0" w:color="auto"/>
          </w:divBdr>
        </w:div>
      </w:divsChild>
    </w:div>
    <w:div w:id="1667591801">
      <w:bodyDiv w:val="1"/>
      <w:marLeft w:val="0"/>
      <w:marRight w:val="0"/>
      <w:marTop w:val="0"/>
      <w:marBottom w:val="0"/>
      <w:divBdr>
        <w:top w:val="none" w:sz="0" w:space="0" w:color="auto"/>
        <w:left w:val="none" w:sz="0" w:space="0" w:color="auto"/>
        <w:bottom w:val="none" w:sz="0" w:space="0" w:color="auto"/>
        <w:right w:val="none" w:sz="0" w:space="0" w:color="auto"/>
      </w:divBdr>
      <w:divsChild>
        <w:div w:id="1079790486">
          <w:marLeft w:val="547"/>
          <w:marRight w:val="0"/>
          <w:marTop w:val="86"/>
          <w:marBottom w:val="0"/>
          <w:divBdr>
            <w:top w:val="none" w:sz="0" w:space="0" w:color="auto"/>
            <w:left w:val="none" w:sz="0" w:space="0" w:color="auto"/>
            <w:bottom w:val="none" w:sz="0" w:space="0" w:color="auto"/>
            <w:right w:val="none" w:sz="0" w:space="0" w:color="auto"/>
          </w:divBdr>
        </w:div>
        <w:div w:id="155808701">
          <w:marLeft w:val="547"/>
          <w:marRight w:val="0"/>
          <w:marTop w:val="86"/>
          <w:marBottom w:val="0"/>
          <w:divBdr>
            <w:top w:val="none" w:sz="0" w:space="0" w:color="auto"/>
            <w:left w:val="none" w:sz="0" w:space="0" w:color="auto"/>
            <w:bottom w:val="none" w:sz="0" w:space="0" w:color="auto"/>
            <w:right w:val="none" w:sz="0" w:space="0" w:color="auto"/>
          </w:divBdr>
        </w:div>
        <w:div w:id="321086664">
          <w:marLeft w:val="547"/>
          <w:marRight w:val="0"/>
          <w:marTop w:val="86"/>
          <w:marBottom w:val="0"/>
          <w:divBdr>
            <w:top w:val="none" w:sz="0" w:space="0" w:color="auto"/>
            <w:left w:val="none" w:sz="0" w:space="0" w:color="auto"/>
            <w:bottom w:val="none" w:sz="0" w:space="0" w:color="auto"/>
            <w:right w:val="none" w:sz="0" w:space="0" w:color="auto"/>
          </w:divBdr>
        </w:div>
      </w:divsChild>
    </w:div>
    <w:div w:id="1843886697">
      <w:bodyDiv w:val="1"/>
      <w:marLeft w:val="0"/>
      <w:marRight w:val="0"/>
      <w:marTop w:val="0"/>
      <w:marBottom w:val="0"/>
      <w:divBdr>
        <w:top w:val="none" w:sz="0" w:space="0" w:color="auto"/>
        <w:left w:val="none" w:sz="0" w:space="0" w:color="auto"/>
        <w:bottom w:val="none" w:sz="0" w:space="0" w:color="auto"/>
        <w:right w:val="none" w:sz="0" w:space="0" w:color="auto"/>
      </w:divBdr>
    </w:div>
    <w:div w:id="1884441665">
      <w:bodyDiv w:val="1"/>
      <w:marLeft w:val="0"/>
      <w:marRight w:val="0"/>
      <w:marTop w:val="0"/>
      <w:marBottom w:val="0"/>
      <w:divBdr>
        <w:top w:val="none" w:sz="0" w:space="0" w:color="auto"/>
        <w:left w:val="none" w:sz="0" w:space="0" w:color="auto"/>
        <w:bottom w:val="none" w:sz="0" w:space="0" w:color="auto"/>
        <w:right w:val="none" w:sz="0" w:space="0" w:color="auto"/>
      </w:divBdr>
    </w:div>
    <w:div w:id="1969118997">
      <w:bodyDiv w:val="1"/>
      <w:marLeft w:val="0"/>
      <w:marRight w:val="0"/>
      <w:marTop w:val="0"/>
      <w:marBottom w:val="0"/>
      <w:divBdr>
        <w:top w:val="none" w:sz="0" w:space="0" w:color="auto"/>
        <w:left w:val="none" w:sz="0" w:space="0" w:color="auto"/>
        <w:bottom w:val="none" w:sz="0" w:space="0" w:color="auto"/>
        <w:right w:val="none" w:sz="0" w:space="0" w:color="auto"/>
      </w:divBdr>
    </w:div>
    <w:div w:id="1996103200">
      <w:bodyDiv w:val="1"/>
      <w:marLeft w:val="0"/>
      <w:marRight w:val="0"/>
      <w:marTop w:val="0"/>
      <w:marBottom w:val="0"/>
      <w:divBdr>
        <w:top w:val="none" w:sz="0" w:space="0" w:color="auto"/>
        <w:left w:val="none" w:sz="0" w:space="0" w:color="auto"/>
        <w:bottom w:val="none" w:sz="0" w:space="0" w:color="auto"/>
        <w:right w:val="none" w:sz="0" w:space="0" w:color="auto"/>
      </w:divBdr>
      <w:divsChild>
        <w:div w:id="37362931">
          <w:marLeft w:val="547"/>
          <w:marRight w:val="0"/>
          <w:marTop w:val="86"/>
          <w:marBottom w:val="0"/>
          <w:divBdr>
            <w:top w:val="none" w:sz="0" w:space="0" w:color="auto"/>
            <w:left w:val="none" w:sz="0" w:space="0" w:color="auto"/>
            <w:bottom w:val="none" w:sz="0" w:space="0" w:color="auto"/>
            <w:right w:val="none" w:sz="0" w:space="0" w:color="auto"/>
          </w:divBdr>
        </w:div>
        <w:div w:id="1691226245">
          <w:marLeft w:val="547"/>
          <w:marRight w:val="0"/>
          <w:marTop w:val="86"/>
          <w:marBottom w:val="0"/>
          <w:divBdr>
            <w:top w:val="none" w:sz="0" w:space="0" w:color="auto"/>
            <w:left w:val="none" w:sz="0" w:space="0" w:color="auto"/>
            <w:bottom w:val="none" w:sz="0" w:space="0" w:color="auto"/>
            <w:right w:val="none" w:sz="0" w:space="0" w:color="auto"/>
          </w:divBdr>
        </w:div>
        <w:div w:id="18313659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eating-devices.gov.gr/" TargetMode="External"/><Relationship Id="rId18" Type="http://schemas.openxmlformats.org/officeDocument/2006/relationships/hyperlink" Target="https://heating-devices.gov.g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eating-devices.gov.gr/" TargetMode="External"/><Relationship Id="rId7" Type="http://schemas.openxmlformats.org/officeDocument/2006/relationships/image" Target="media/image1.png"/><Relationship Id="rId12" Type="http://schemas.openxmlformats.org/officeDocument/2006/relationships/hyperlink" Target="https://heating-devices.gov.gr/" TargetMode="External"/><Relationship Id="rId17" Type="http://schemas.openxmlformats.org/officeDocument/2006/relationships/hyperlink" Target="https://heating-devices.gov.g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ating-devices.gov.gr/" TargetMode="External"/><Relationship Id="rId20" Type="http://schemas.openxmlformats.org/officeDocument/2006/relationships/hyperlink" Target="https://heating-devices.gov.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ting-devices.gov.g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eating-devices.gov.gr/" TargetMode="External"/><Relationship Id="rId23" Type="http://schemas.openxmlformats.org/officeDocument/2006/relationships/hyperlink" Target="https://heating-devices.gov.gr/" TargetMode="External"/><Relationship Id="rId10" Type="http://schemas.openxmlformats.org/officeDocument/2006/relationships/hyperlink" Target="https://heating-devices.gov.gr/" TargetMode="External"/><Relationship Id="rId19" Type="http://schemas.openxmlformats.org/officeDocument/2006/relationships/hyperlink" Target="https://heating-devices.gov.g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heating-devices.gov.gr/" TargetMode="External"/><Relationship Id="rId22" Type="http://schemas.openxmlformats.org/officeDocument/2006/relationships/hyperlink" Target="https://heating-device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7573</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KEPA</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Σαρίκενας Χρήστος</dc:creator>
  <cp:keywords/>
  <dc:description/>
  <cp:lastModifiedBy>user</cp:lastModifiedBy>
  <cp:revision>2</cp:revision>
  <dcterms:created xsi:type="dcterms:W3CDTF">2021-01-06T13:16:00Z</dcterms:created>
  <dcterms:modified xsi:type="dcterms:W3CDTF">2021-01-06T13:16:00Z</dcterms:modified>
</cp:coreProperties>
</file>