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5B768" w14:textId="77777777" w:rsidR="00792159" w:rsidRDefault="00ED1799">
      <w:pPr>
        <w:rPr>
          <w:rFonts w:hint="eastAsia"/>
        </w:rPr>
      </w:pPr>
      <w:r>
        <w:rPr>
          <w:noProof/>
        </w:rPr>
        <w:drawing>
          <wp:inline distT="0" distB="0" distL="0" distR="0" wp14:anchorId="7970C6A4" wp14:editId="768168FA">
            <wp:extent cx="5267325" cy="1028700"/>
            <wp:effectExtent l="0" t="0" r="0" b="0"/>
            <wp:docPr id="1" name="Εικόνα1" descr="Εικόνα που περιέχει κείμενο, στιγμιότυπο οθόνης, Μπελ ηλεκτρίκ, μπλε&#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1" descr="Εικόνα που περιέχει κείμενο, στιγμιότυπο οθόνης, Μπελ ηλεκτρίκ, μπλε&#10;&#10;Περιγραφή που δημιουργήθηκε αυτόματα"/>
                    <pic:cNvPicPr>
                      <a:picLocks noChangeAspect="1" noChangeArrowheads="1"/>
                    </pic:cNvPicPr>
                  </pic:nvPicPr>
                  <pic:blipFill>
                    <a:blip r:embed="rId4"/>
                    <a:srcRect l="-7" t="-38" r="-7" b="-38"/>
                    <a:stretch>
                      <a:fillRect/>
                    </a:stretch>
                  </pic:blipFill>
                  <pic:spPr bwMode="auto">
                    <a:xfrm>
                      <a:off x="0" y="0"/>
                      <a:ext cx="5267325" cy="1028700"/>
                    </a:xfrm>
                    <a:prstGeom prst="rect">
                      <a:avLst/>
                    </a:prstGeom>
                  </pic:spPr>
                </pic:pic>
              </a:graphicData>
            </a:graphic>
          </wp:inline>
        </w:drawing>
      </w:r>
    </w:p>
    <w:p w14:paraId="3FD9E9F2" w14:textId="77777777" w:rsidR="00792159" w:rsidRDefault="00792159">
      <w:pPr>
        <w:jc w:val="center"/>
        <w:rPr>
          <w:rFonts w:ascii="Verdana" w:hAnsi="Verdana" w:cs="Georgia"/>
          <w:b/>
          <w:sz w:val="22"/>
          <w:szCs w:val="22"/>
          <w:u w:val="single"/>
          <w:lang w:val="en-US"/>
        </w:rPr>
      </w:pPr>
    </w:p>
    <w:p w14:paraId="25F0C899" w14:textId="77777777" w:rsidR="00792159" w:rsidRDefault="00ED1799">
      <w:pPr>
        <w:jc w:val="right"/>
        <w:rPr>
          <w:rFonts w:hint="eastAsia"/>
        </w:rPr>
      </w:pPr>
      <w:r>
        <w:rPr>
          <w:rFonts w:ascii="Verdana" w:hAnsi="Verdana" w:cs="Georgia"/>
        </w:rPr>
        <w:t>0</w:t>
      </w:r>
      <w:r w:rsidRPr="00ED1799">
        <w:rPr>
          <w:rFonts w:ascii="Verdana" w:hAnsi="Verdana" w:cs="Georgia"/>
        </w:rPr>
        <w:t>9</w:t>
      </w:r>
      <w:r>
        <w:rPr>
          <w:rFonts w:ascii="Verdana" w:hAnsi="Verdana" w:cs="Georgia"/>
        </w:rPr>
        <w:t>/10/2025</w:t>
      </w:r>
    </w:p>
    <w:p w14:paraId="214C6DB3" w14:textId="77777777" w:rsidR="00792159" w:rsidRDefault="00792159">
      <w:pPr>
        <w:jc w:val="center"/>
        <w:rPr>
          <w:rFonts w:ascii="Verdana" w:hAnsi="Verdana" w:cs="Georgia"/>
          <w:b/>
          <w:u w:val="single"/>
        </w:rPr>
      </w:pPr>
    </w:p>
    <w:p w14:paraId="0C1936E2" w14:textId="77777777" w:rsidR="00792159" w:rsidRDefault="00ED1799">
      <w:pPr>
        <w:jc w:val="center"/>
        <w:rPr>
          <w:rFonts w:ascii="Verdana" w:eastAsia="Georgia" w:hAnsi="Verdana" w:cs="Georgia"/>
          <w:b/>
          <w:bCs/>
          <w:u w:val="single"/>
        </w:rPr>
      </w:pPr>
      <w:r>
        <w:rPr>
          <w:rFonts w:ascii="Verdana" w:eastAsia="Georgia" w:hAnsi="Verdana" w:cs="Georgia"/>
          <w:b/>
          <w:bCs/>
          <w:u w:val="single"/>
        </w:rPr>
        <w:t>Μαζική η συμμετοχή των επιχειρήσεων της Κεντρικής Μακεδονίας στις δυο δράσεις της Περιφέρειας για την ενίσχυση της επιχειρηματικότητας</w:t>
      </w:r>
    </w:p>
    <w:p w14:paraId="3E5B4130" w14:textId="77777777" w:rsidR="00792159" w:rsidRDefault="00792159">
      <w:pPr>
        <w:ind w:firstLine="720"/>
        <w:jc w:val="both"/>
        <w:rPr>
          <w:rFonts w:ascii="Verdana" w:hAnsi="Verdana" w:cs="Georgia"/>
          <w:b/>
          <w:sz w:val="22"/>
          <w:szCs w:val="22"/>
        </w:rPr>
      </w:pPr>
    </w:p>
    <w:p w14:paraId="4DE0940C" w14:textId="77777777" w:rsidR="00792159" w:rsidRDefault="00ED1799">
      <w:pPr>
        <w:ind w:firstLine="720"/>
        <w:jc w:val="both"/>
        <w:rPr>
          <w:rFonts w:ascii="Verdana" w:hAnsi="Verdana"/>
          <w:b/>
          <w:bCs/>
          <w:sz w:val="22"/>
          <w:szCs w:val="22"/>
        </w:rPr>
      </w:pPr>
      <w:r>
        <w:rPr>
          <w:rFonts w:ascii="Verdana" w:hAnsi="Verdana"/>
          <w:b/>
          <w:bCs/>
          <w:sz w:val="22"/>
          <w:szCs w:val="22"/>
        </w:rPr>
        <w:t>Μαζική ήταν η συμμετοχή υφιστάμενων, νέων και υπό σύσταση επιχειρήσεων της Περιφέρειας Κεντρικής Μακεδονίας, στις δυο δράσεις ενίσχυσης της επιχειρηματικότητας, μέσω του ΕΣΠΑ της Περιφέρειας 2021-2027, «Αφετηρία Καινοτομίας» και «Κλειδί Προόδου», καθώς κατατέθηκαν ηλεκτρονικά 3.457 επενδυτικά σχέδια από ισάριθμες επιχειρήσεις με συνολικό προϋπολογισμό (δημόσια δαπάνη) 419,25 εκ. ευρώ υπερκαλύπτοντας τη διαθέσιμη δημόσια δαπάνη των 200 εκ. ευρώ και για τις δύο δράσεις.</w:t>
      </w:r>
    </w:p>
    <w:p w14:paraId="3B9C6062" w14:textId="77777777" w:rsidR="00792159" w:rsidRDefault="00ED1799">
      <w:pPr>
        <w:ind w:firstLine="720"/>
        <w:jc w:val="both"/>
        <w:rPr>
          <w:rFonts w:ascii="Verdana" w:hAnsi="Verdana"/>
          <w:sz w:val="22"/>
          <w:szCs w:val="22"/>
        </w:rPr>
      </w:pPr>
      <w:r>
        <w:rPr>
          <w:rFonts w:ascii="Verdana" w:hAnsi="Verdana"/>
          <w:sz w:val="22"/>
          <w:szCs w:val="22"/>
        </w:rPr>
        <w:t xml:space="preserve">Όπως τόνισε η </w:t>
      </w:r>
      <w:r>
        <w:rPr>
          <w:rFonts w:ascii="Verdana" w:hAnsi="Verdana"/>
          <w:b/>
          <w:bCs/>
          <w:sz w:val="22"/>
          <w:szCs w:val="22"/>
        </w:rPr>
        <w:t>Περιφερειάρχης Κεντρικής Μακεδονίας Αθηνά Αηδονά</w:t>
      </w:r>
      <w:r>
        <w:rPr>
          <w:rFonts w:ascii="Verdana" w:hAnsi="Verdana"/>
          <w:sz w:val="22"/>
          <w:szCs w:val="22"/>
        </w:rPr>
        <w:t xml:space="preserve">, </w:t>
      </w:r>
      <w:r>
        <w:rPr>
          <w:rFonts w:ascii="Verdana" w:hAnsi="Verdana"/>
          <w:i/>
          <w:iCs/>
          <w:sz w:val="22"/>
          <w:szCs w:val="22"/>
        </w:rPr>
        <w:t>«το μεγάλο ενδιαφέρον των επιχειρήσεων για χρηματοδότηση από τις δράσεις ενίσχυσης της επιχειρηματικότητας που υλοποιούμε είναι ενδεικτικό τόσο των χρηματοδοτικών αναγκών των επιχειρήσεων και του μεγάλου επενδυτικού ενδιαφέροντος στην Κεντρική Μακεδονία, όσο βέβαια και της σπουδαιότητας των πρωτοβουλιών που αναλαμβάνουμε ως διοίκηση της Περιφέρειας προς αυτή την κατεύθυνση και της βέλτιστης διαχείρισης των ευρωπαϊκών πόρων. Είναι μια απόδειξη ότι οι επιλογές</w:t>
      </w:r>
      <w:r>
        <w:rPr>
          <w:rFonts w:ascii="Verdana" w:hAnsi="Verdana"/>
          <w:i/>
          <w:iCs/>
          <w:sz w:val="22"/>
          <w:szCs w:val="22"/>
        </w:rPr>
        <w:t xml:space="preserve"> που κάνουμε και ο σχεδιασμός για την ενίσχυση των επιχειρήσεων έχει μαζική ανταπόκριση και είναι μια απάντηση στις ανάγκες του επιχειρείν συνολικά στην Κεντρική Μακεδονία. Προκειμένου να δώσουμε τη δυνατότητα συμμετοχής στις δυο δράσεις σε όσο το δυνατόν περισσότερες επιχειρήσεις και συμπολίτες μας και βλέποντας τη μεγάλη ανταπόκριση που υπήρξε από την έναρξή τους, διοργανώσαμε μεγάλη καμπάνια σε όλες τις Περιφερειακές Ενότητες της Κεντρικής Μακεδονίας, ενώ δώσαμε και τις αναγκαίες παρατάσεις, ώστε να υποβ</w:t>
      </w:r>
      <w:r>
        <w:rPr>
          <w:rFonts w:ascii="Verdana" w:hAnsi="Verdana"/>
          <w:i/>
          <w:iCs/>
          <w:sz w:val="22"/>
          <w:szCs w:val="22"/>
        </w:rPr>
        <w:t>άλουν όλοι οι ενδιαφερόμενοι τα επενδυτικά σχέδιά τους. Πλέον, θα ακολουθήσει η διαδικασία αξιολόγησης των αιτήσεων και θα προχωρήσουν οι χρηματοδοτήσεις και η υλοποίηση των επενδύσεων που θα εγκριθούν. Η Περιφέρεια Κεντρικής Μακεδονίας αποδεικνύει γι’ ακόμα μια φορά ότι είναι κοντά στον επιχειρηματία, τον επενδυτή, αλλά και τον εργαζόμενο, με κάθε μέσο, αξιοποιώντας τους ευρωπαϊκούς πόρους που διαθέτει για τη δημιουργία νέου εισοδήματος και νέων θέσεων εργασίας. Η στήριξή μας ειδικά στις μικρομεσαίες επιχε</w:t>
      </w:r>
      <w:r>
        <w:rPr>
          <w:rFonts w:ascii="Verdana" w:hAnsi="Verdana"/>
          <w:i/>
          <w:iCs/>
          <w:sz w:val="22"/>
          <w:szCs w:val="22"/>
        </w:rPr>
        <w:t>ιρήσεων είναι αδιαπραγμάτευτη, συνεχής και πάντοτε στην καρδιά της αναπτυξιακής πολιτικής μας, που έχει στο επίκεντρο την αύξηση των επενδύσεων, την αύξηση της απασχόλησης και τη βιώσιμη ανάπτυξη»</w:t>
      </w:r>
      <w:r>
        <w:rPr>
          <w:rFonts w:ascii="Verdana" w:hAnsi="Verdana"/>
          <w:sz w:val="22"/>
          <w:szCs w:val="22"/>
        </w:rPr>
        <w:t>.</w:t>
      </w:r>
    </w:p>
    <w:p w14:paraId="792A6923" w14:textId="77777777" w:rsidR="00792159" w:rsidRDefault="00792159">
      <w:pPr>
        <w:ind w:firstLine="720"/>
        <w:jc w:val="both"/>
        <w:rPr>
          <w:rFonts w:ascii="Verdana" w:hAnsi="Verdana"/>
          <w:sz w:val="22"/>
          <w:szCs w:val="22"/>
        </w:rPr>
      </w:pPr>
    </w:p>
    <w:p w14:paraId="6B10663D" w14:textId="77777777" w:rsidR="00792159" w:rsidRDefault="00ED1799">
      <w:pPr>
        <w:ind w:firstLine="720"/>
        <w:jc w:val="both"/>
        <w:rPr>
          <w:rFonts w:ascii="Verdana" w:hAnsi="Verdana"/>
          <w:sz w:val="22"/>
          <w:szCs w:val="22"/>
        </w:rPr>
      </w:pPr>
      <w:r>
        <w:rPr>
          <w:rFonts w:ascii="Verdana" w:hAnsi="Verdana"/>
          <w:sz w:val="22"/>
          <w:szCs w:val="22"/>
        </w:rPr>
        <w:t>Σύμφωνα με τα στοιχεία που δηλώθηκαν στο Ολοκληρωμένο Πληροφοριακό Σύστημα Κρατικών Ενισχύσεων (ΟΠΣΚΕ) από τις υφιστάμενες, νέες και υπό σύσταση επιχειρήσεις που υπέβαλαν αίτηση χρηματοδότησης, και επεξεργάστηκε ο Φορέας Διαχείρισης της Δράσης ΚΕΠΑ-ΑΝΕΜ ΑΜΚΕ/ΕΦΕΠΑΕ προκύπτουν τα παρακάτω στοιχεία για κάθε δράση:</w:t>
      </w:r>
      <w:bookmarkStart w:id="0" w:name="_Hlk205214651"/>
    </w:p>
    <w:p w14:paraId="6F2F1C2E" w14:textId="77777777" w:rsidR="00792159" w:rsidRDefault="00792159">
      <w:pPr>
        <w:ind w:firstLine="720"/>
        <w:jc w:val="both"/>
        <w:rPr>
          <w:rFonts w:ascii="Verdana" w:hAnsi="Verdana"/>
          <w:sz w:val="22"/>
          <w:szCs w:val="22"/>
        </w:rPr>
      </w:pPr>
    </w:p>
    <w:p w14:paraId="7D5911CF" w14:textId="77777777" w:rsidR="00792159" w:rsidRDefault="00ED1799">
      <w:pPr>
        <w:ind w:firstLine="720"/>
        <w:jc w:val="both"/>
        <w:rPr>
          <w:rFonts w:ascii="Verdana" w:hAnsi="Verdana"/>
          <w:b/>
          <w:bCs/>
          <w:color w:val="002060"/>
          <w:sz w:val="22"/>
          <w:szCs w:val="22"/>
          <w:u w:val="single"/>
        </w:rPr>
      </w:pPr>
      <w:r>
        <w:rPr>
          <w:rFonts w:ascii="Verdana" w:hAnsi="Verdana"/>
          <w:b/>
          <w:bCs/>
          <w:color w:val="002060"/>
          <w:sz w:val="22"/>
          <w:szCs w:val="22"/>
          <w:u w:val="single"/>
        </w:rPr>
        <w:t>Α) Δράση «Αφετηρία Καινοτομίας και Εξωστρέφειας»</w:t>
      </w:r>
    </w:p>
    <w:p w14:paraId="5D0D3134" w14:textId="77777777" w:rsidR="00792159" w:rsidRDefault="00ED1799">
      <w:pPr>
        <w:ind w:firstLine="720"/>
        <w:jc w:val="both"/>
        <w:rPr>
          <w:rFonts w:ascii="Verdana" w:hAnsi="Verdana"/>
          <w:b/>
          <w:bCs/>
          <w:sz w:val="22"/>
          <w:szCs w:val="22"/>
        </w:rPr>
      </w:pPr>
      <w:r>
        <w:rPr>
          <w:rFonts w:ascii="Verdana" w:hAnsi="Verdana"/>
          <w:b/>
          <w:bCs/>
          <w:sz w:val="22"/>
          <w:szCs w:val="22"/>
        </w:rPr>
        <w:t>Δημόσια δαπάνη 60 εκ. ευρώ:</w:t>
      </w:r>
      <w:r>
        <w:rPr>
          <w:rFonts w:ascii="Verdana" w:hAnsi="Verdana"/>
          <w:sz w:val="22"/>
          <w:szCs w:val="22"/>
        </w:rPr>
        <w:t xml:space="preserve"> Αφορά σε </w:t>
      </w:r>
      <w:r>
        <w:rPr>
          <w:rFonts w:ascii="Verdana" w:hAnsi="Verdana"/>
          <w:b/>
          <w:bCs/>
          <w:sz w:val="22"/>
          <w:szCs w:val="22"/>
        </w:rPr>
        <w:t>νέες και υπό σύσταση πολύ μικρές, μικρές και μεσαίες επιχειρήσεις στους τομείς μεταποίησης, τουρισμού και υπηρεσιών (αθλητικές εγκαταστάσεις)</w:t>
      </w:r>
      <w:r>
        <w:rPr>
          <w:rFonts w:ascii="Verdana" w:hAnsi="Verdana"/>
          <w:sz w:val="22"/>
          <w:szCs w:val="22"/>
        </w:rPr>
        <w:t>. Συνολικά, υποβλήθηκαν</w:t>
      </w:r>
      <w:r>
        <w:rPr>
          <w:rFonts w:ascii="Verdana" w:hAnsi="Verdana"/>
          <w:b/>
          <w:bCs/>
          <w:sz w:val="22"/>
          <w:szCs w:val="22"/>
        </w:rPr>
        <w:t xml:space="preserve"> 769 </w:t>
      </w:r>
      <w:r>
        <w:rPr>
          <w:rFonts w:ascii="Verdana" w:hAnsi="Verdana"/>
          <w:sz w:val="22"/>
          <w:szCs w:val="22"/>
        </w:rPr>
        <w:t xml:space="preserve">επενδυτικά σχέδια από ισάριθμες επιχειρήσεις της Περιφέρειας Κεντρικής Μακεδονίας, με </w:t>
      </w:r>
      <w:r>
        <w:rPr>
          <w:rFonts w:ascii="Verdana" w:hAnsi="Verdana"/>
          <w:b/>
          <w:bCs/>
          <w:sz w:val="22"/>
          <w:szCs w:val="22"/>
        </w:rPr>
        <w:t>συνολικό</w:t>
      </w:r>
      <w:r>
        <w:rPr>
          <w:rFonts w:ascii="Verdana" w:hAnsi="Verdana"/>
          <w:sz w:val="22"/>
          <w:szCs w:val="22"/>
        </w:rPr>
        <w:t xml:space="preserve"> </w:t>
      </w:r>
      <w:r>
        <w:rPr>
          <w:rFonts w:ascii="Verdana" w:hAnsi="Verdana"/>
          <w:b/>
          <w:bCs/>
          <w:sz w:val="22"/>
          <w:szCs w:val="22"/>
        </w:rPr>
        <w:t xml:space="preserve">επιχορηγούμενο προϋπολογισμό 295,41 εκ. ευρώ και αναλογούσα δημόσια </w:t>
      </w:r>
      <w:r>
        <w:rPr>
          <w:rFonts w:ascii="Verdana" w:hAnsi="Verdana"/>
          <w:b/>
          <w:bCs/>
          <w:sz w:val="22"/>
          <w:szCs w:val="22"/>
        </w:rPr>
        <w:lastRenderedPageBreak/>
        <w:t>δαπάνη (επιχορήγηση) 147,705 εκ. ευρώ,</w:t>
      </w:r>
      <w:r>
        <w:rPr>
          <w:rFonts w:ascii="Verdana" w:hAnsi="Verdana"/>
          <w:sz w:val="22"/>
          <w:szCs w:val="22"/>
        </w:rPr>
        <w:t xml:space="preserve"> </w:t>
      </w:r>
      <w:bookmarkStart w:id="1" w:name="_Hlk205300779"/>
      <w:r>
        <w:rPr>
          <w:rFonts w:ascii="Verdana" w:hAnsi="Verdana"/>
          <w:sz w:val="22"/>
          <w:szCs w:val="22"/>
        </w:rPr>
        <w:t xml:space="preserve">εμφανίζοντας  </w:t>
      </w:r>
      <w:r>
        <w:rPr>
          <w:rFonts w:ascii="Verdana" w:hAnsi="Verdana"/>
          <w:b/>
          <w:bCs/>
          <w:sz w:val="22"/>
          <w:szCs w:val="22"/>
        </w:rPr>
        <w:t xml:space="preserve">ποσοστό υπέρβασης της τάξης του </w:t>
      </w:r>
      <w:bookmarkEnd w:id="1"/>
      <w:r>
        <w:rPr>
          <w:rFonts w:ascii="Verdana" w:hAnsi="Verdana"/>
          <w:b/>
          <w:bCs/>
          <w:sz w:val="22"/>
          <w:szCs w:val="22"/>
        </w:rPr>
        <w:t>145%.</w:t>
      </w:r>
    </w:p>
    <w:p w14:paraId="5E256D3C" w14:textId="77777777" w:rsidR="00792159" w:rsidRDefault="00ED1799">
      <w:pPr>
        <w:ind w:firstLine="720"/>
        <w:jc w:val="both"/>
        <w:rPr>
          <w:rFonts w:ascii="Verdana" w:hAnsi="Verdana"/>
          <w:sz w:val="22"/>
          <w:szCs w:val="22"/>
        </w:rPr>
      </w:pPr>
      <w:r>
        <w:rPr>
          <w:rFonts w:ascii="Verdana" w:hAnsi="Verdana"/>
          <w:sz w:val="22"/>
          <w:szCs w:val="22"/>
        </w:rPr>
        <w:t xml:space="preserve">Το </w:t>
      </w:r>
      <w:r>
        <w:rPr>
          <w:rFonts w:ascii="Verdana" w:hAnsi="Verdana"/>
          <w:b/>
          <w:bCs/>
          <w:sz w:val="22"/>
          <w:szCs w:val="22"/>
        </w:rPr>
        <w:t>65,93%</w:t>
      </w:r>
      <w:r>
        <w:rPr>
          <w:rFonts w:ascii="Verdana" w:hAnsi="Verdana"/>
          <w:sz w:val="22"/>
          <w:szCs w:val="22"/>
        </w:rPr>
        <w:t xml:space="preserve"> των αιτήσεων (507 επενδυτικά σχέδια με συνολική αιτούμενη δημόσια δαπάνη 106,11 εκ. ευρώ) αφορούν στην κατηγορία των </w:t>
      </w:r>
      <w:r>
        <w:rPr>
          <w:rFonts w:ascii="Verdana" w:hAnsi="Verdana"/>
          <w:b/>
          <w:bCs/>
          <w:sz w:val="22"/>
          <w:szCs w:val="22"/>
        </w:rPr>
        <w:t xml:space="preserve">υπό σύσταση επιχειρήσεων </w:t>
      </w:r>
      <w:r>
        <w:rPr>
          <w:rFonts w:ascii="Verdana" w:hAnsi="Verdana"/>
          <w:sz w:val="22"/>
          <w:szCs w:val="22"/>
        </w:rPr>
        <w:t xml:space="preserve">έναντι του </w:t>
      </w:r>
      <w:r>
        <w:rPr>
          <w:rFonts w:ascii="Verdana" w:hAnsi="Verdana"/>
          <w:b/>
          <w:bCs/>
          <w:sz w:val="22"/>
          <w:szCs w:val="22"/>
        </w:rPr>
        <w:t>34,07%</w:t>
      </w:r>
      <w:r>
        <w:rPr>
          <w:rFonts w:ascii="Verdana" w:hAnsi="Verdana"/>
          <w:sz w:val="22"/>
          <w:szCs w:val="22"/>
        </w:rPr>
        <w:t xml:space="preserve"> (262 επενδυτικά σχέδια με συνολική αιτούμενη δημόσια δαπάνη 41,60 εκ. ευρώ) αφορούν στην κατηγορία των </w:t>
      </w:r>
      <w:r>
        <w:rPr>
          <w:rFonts w:ascii="Verdana" w:hAnsi="Verdana"/>
          <w:b/>
          <w:bCs/>
          <w:sz w:val="22"/>
          <w:szCs w:val="22"/>
        </w:rPr>
        <w:t>νέων επιχειρήσεων</w:t>
      </w:r>
      <w:r>
        <w:rPr>
          <w:rFonts w:ascii="Verdana" w:hAnsi="Verdana"/>
          <w:sz w:val="22"/>
          <w:szCs w:val="22"/>
        </w:rPr>
        <w:t>.</w:t>
      </w:r>
    </w:p>
    <w:p w14:paraId="5CDC6C5D" w14:textId="77777777" w:rsidR="00792159" w:rsidRDefault="00ED1799">
      <w:pPr>
        <w:ind w:firstLine="720"/>
        <w:jc w:val="both"/>
        <w:rPr>
          <w:rFonts w:ascii="Verdana" w:hAnsi="Verdana"/>
          <w:sz w:val="22"/>
          <w:szCs w:val="22"/>
        </w:rPr>
      </w:pPr>
      <w:r>
        <w:rPr>
          <w:rFonts w:ascii="Verdana" w:hAnsi="Verdana"/>
          <w:sz w:val="22"/>
          <w:szCs w:val="22"/>
        </w:rPr>
        <w:t xml:space="preserve">Από πλευράς νομικής μορφής, την πρώτη θέση καταλαμβάνουν οι αμιγώς </w:t>
      </w:r>
      <w:r>
        <w:rPr>
          <w:rFonts w:ascii="Verdana" w:hAnsi="Verdana"/>
          <w:b/>
          <w:bCs/>
          <w:sz w:val="22"/>
          <w:szCs w:val="22"/>
        </w:rPr>
        <w:t xml:space="preserve">ΙΚΕ </w:t>
      </w:r>
      <w:r>
        <w:rPr>
          <w:rFonts w:ascii="Verdana" w:hAnsi="Verdana"/>
          <w:sz w:val="22"/>
          <w:szCs w:val="22"/>
        </w:rPr>
        <w:t>(Ιδιωτική Κεφαλαιουχική Εταιρεία)</w:t>
      </w:r>
      <w:r>
        <w:rPr>
          <w:rFonts w:ascii="Verdana" w:hAnsi="Verdana"/>
          <w:b/>
          <w:bCs/>
          <w:sz w:val="22"/>
          <w:szCs w:val="22"/>
        </w:rPr>
        <w:t xml:space="preserve"> </w:t>
      </w:r>
      <w:r>
        <w:rPr>
          <w:rFonts w:ascii="Verdana" w:hAnsi="Verdana"/>
          <w:sz w:val="22"/>
          <w:szCs w:val="22"/>
        </w:rPr>
        <w:t xml:space="preserve">με ποσοστό </w:t>
      </w:r>
      <w:r>
        <w:rPr>
          <w:rFonts w:ascii="Verdana" w:hAnsi="Verdana"/>
          <w:b/>
          <w:bCs/>
          <w:sz w:val="22"/>
          <w:szCs w:val="22"/>
        </w:rPr>
        <w:t>22,89%</w:t>
      </w:r>
      <w:r>
        <w:rPr>
          <w:rFonts w:ascii="Verdana" w:hAnsi="Verdana"/>
          <w:sz w:val="22"/>
          <w:szCs w:val="22"/>
        </w:rPr>
        <w:t xml:space="preserve"> (176 επενδυτικά σχέδια με συνολική αιτούμενη δημόσια δαπάνη 36,24 εκ. ευρώ) και ακολουθεί η νομική μορφή </w:t>
      </w:r>
      <w:r>
        <w:rPr>
          <w:rFonts w:ascii="Verdana" w:hAnsi="Verdana"/>
          <w:b/>
          <w:bCs/>
          <w:sz w:val="22"/>
          <w:szCs w:val="22"/>
        </w:rPr>
        <w:t>ΟΕ</w:t>
      </w:r>
      <w:r>
        <w:rPr>
          <w:rFonts w:ascii="Verdana" w:hAnsi="Verdana"/>
          <w:sz w:val="22"/>
          <w:szCs w:val="22"/>
        </w:rPr>
        <w:t xml:space="preserve"> (Ομόρρυθμη Εταιρεία)</w:t>
      </w:r>
      <w:r>
        <w:rPr>
          <w:rFonts w:ascii="Verdana" w:hAnsi="Verdana"/>
          <w:b/>
          <w:bCs/>
          <w:sz w:val="22"/>
          <w:szCs w:val="22"/>
        </w:rPr>
        <w:t xml:space="preserve"> </w:t>
      </w:r>
      <w:r>
        <w:rPr>
          <w:rFonts w:ascii="Verdana" w:hAnsi="Verdana"/>
          <w:sz w:val="22"/>
          <w:szCs w:val="22"/>
        </w:rPr>
        <w:t xml:space="preserve">με ποσοστό </w:t>
      </w:r>
      <w:r>
        <w:rPr>
          <w:rFonts w:ascii="Verdana" w:hAnsi="Verdana"/>
          <w:b/>
          <w:bCs/>
          <w:sz w:val="22"/>
          <w:szCs w:val="22"/>
        </w:rPr>
        <w:t>22,50%</w:t>
      </w:r>
      <w:r>
        <w:rPr>
          <w:rFonts w:ascii="Verdana" w:hAnsi="Verdana"/>
          <w:sz w:val="22"/>
          <w:szCs w:val="22"/>
        </w:rPr>
        <w:t xml:space="preserve"> (173 επενδυτικά σχέδια με συνολική αιτούμενη δημόσια δαπάνη 32,83 εκ. ευρώ).</w:t>
      </w:r>
    </w:p>
    <w:p w14:paraId="0F361643" w14:textId="77777777" w:rsidR="00792159" w:rsidRDefault="00ED1799">
      <w:pPr>
        <w:ind w:firstLine="720"/>
        <w:jc w:val="both"/>
        <w:rPr>
          <w:rFonts w:ascii="Verdana" w:hAnsi="Verdana"/>
          <w:sz w:val="22"/>
          <w:szCs w:val="22"/>
        </w:rPr>
      </w:pPr>
      <w:r>
        <w:rPr>
          <w:rFonts w:ascii="Verdana" w:hAnsi="Verdana"/>
          <w:sz w:val="22"/>
          <w:szCs w:val="22"/>
        </w:rPr>
        <w:t xml:space="preserve">Ως προς το μέγεθος των επιχειρήσεων, το </w:t>
      </w:r>
      <w:r>
        <w:rPr>
          <w:rFonts w:ascii="Verdana" w:hAnsi="Verdana"/>
          <w:b/>
          <w:bCs/>
          <w:sz w:val="22"/>
          <w:szCs w:val="22"/>
        </w:rPr>
        <w:t>94,93%</w:t>
      </w:r>
      <w:r>
        <w:rPr>
          <w:rFonts w:ascii="Verdana" w:hAnsi="Verdana"/>
          <w:sz w:val="22"/>
          <w:szCs w:val="22"/>
        </w:rPr>
        <w:t xml:space="preserve"> (730 επιχειρήσεις με συνολική αιτούμενη δημόσια δαπάνη 140,32 εκ. ευρώ) ανήκει στην κατηγορία των </w:t>
      </w:r>
      <w:r>
        <w:rPr>
          <w:rFonts w:ascii="Verdana" w:hAnsi="Verdana"/>
          <w:b/>
          <w:bCs/>
          <w:sz w:val="22"/>
          <w:szCs w:val="22"/>
        </w:rPr>
        <w:t xml:space="preserve">πολύ μικρών επιχειρήσεων </w:t>
      </w:r>
      <w:r>
        <w:rPr>
          <w:rFonts w:ascii="Verdana" w:hAnsi="Verdana"/>
          <w:sz w:val="22"/>
          <w:szCs w:val="22"/>
        </w:rPr>
        <w:t>(έως 10 άτομα)</w:t>
      </w:r>
      <w:r>
        <w:rPr>
          <w:rFonts w:ascii="Verdana" w:hAnsi="Verdana"/>
          <w:b/>
          <w:bCs/>
          <w:sz w:val="22"/>
          <w:szCs w:val="22"/>
        </w:rPr>
        <w:t xml:space="preserve"> </w:t>
      </w:r>
      <w:r>
        <w:rPr>
          <w:rFonts w:ascii="Verdana" w:hAnsi="Verdana"/>
          <w:sz w:val="22"/>
          <w:szCs w:val="22"/>
        </w:rPr>
        <w:t>έναντι</w:t>
      </w:r>
      <w:r>
        <w:rPr>
          <w:rFonts w:ascii="Verdana" w:hAnsi="Verdana"/>
          <w:b/>
          <w:bCs/>
          <w:sz w:val="22"/>
          <w:szCs w:val="22"/>
        </w:rPr>
        <w:t xml:space="preserve"> </w:t>
      </w:r>
      <w:r>
        <w:rPr>
          <w:rFonts w:ascii="Verdana" w:hAnsi="Verdana"/>
          <w:sz w:val="22"/>
          <w:szCs w:val="22"/>
        </w:rPr>
        <w:t>του</w:t>
      </w:r>
      <w:r>
        <w:rPr>
          <w:rFonts w:ascii="Verdana" w:hAnsi="Verdana"/>
          <w:b/>
          <w:bCs/>
          <w:sz w:val="22"/>
          <w:szCs w:val="22"/>
        </w:rPr>
        <w:t xml:space="preserve"> 4,94%</w:t>
      </w:r>
      <w:r>
        <w:rPr>
          <w:rFonts w:ascii="Verdana" w:hAnsi="Verdana"/>
          <w:sz w:val="22"/>
          <w:szCs w:val="22"/>
        </w:rPr>
        <w:t xml:space="preserve"> (38 επιχειρήσεις με συνολική αιτούμενη δημόσια δαπάνη 7,14 εκ. ευρώ) που ανήκει στην κατηγορία των </w:t>
      </w:r>
      <w:r>
        <w:rPr>
          <w:rFonts w:ascii="Verdana" w:hAnsi="Verdana"/>
          <w:b/>
          <w:bCs/>
          <w:sz w:val="22"/>
          <w:szCs w:val="22"/>
        </w:rPr>
        <w:t xml:space="preserve">μικρών επιχειρήσεων </w:t>
      </w:r>
      <w:r>
        <w:rPr>
          <w:rFonts w:ascii="Verdana" w:hAnsi="Verdana"/>
          <w:sz w:val="22"/>
          <w:szCs w:val="22"/>
        </w:rPr>
        <w:t>(από 10 έως 50 άτομα)</w:t>
      </w:r>
      <w:r>
        <w:rPr>
          <w:rFonts w:ascii="Verdana" w:hAnsi="Verdana"/>
          <w:b/>
          <w:bCs/>
          <w:sz w:val="22"/>
          <w:szCs w:val="22"/>
        </w:rPr>
        <w:t xml:space="preserve"> </w:t>
      </w:r>
      <w:r>
        <w:rPr>
          <w:rFonts w:ascii="Verdana" w:hAnsi="Verdana"/>
          <w:sz w:val="22"/>
          <w:szCs w:val="22"/>
        </w:rPr>
        <w:t>και</w:t>
      </w:r>
      <w:r>
        <w:rPr>
          <w:rFonts w:ascii="Verdana" w:hAnsi="Verdana"/>
          <w:b/>
          <w:bCs/>
          <w:sz w:val="22"/>
          <w:szCs w:val="22"/>
        </w:rPr>
        <w:t xml:space="preserve"> μόλις 1 επιχείρηση </w:t>
      </w:r>
      <w:r>
        <w:rPr>
          <w:rFonts w:ascii="Verdana" w:hAnsi="Verdana"/>
          <w:sz w:val="22"/>
          <w:szCs w:val="22"/>
        </w:rPr>
        <w:t>που ανήκει στην κατηγορία των</w:t>
      </w:r>
      <w:r>
        <w:rPr>
          <w:rFonts w:ascii="Verdana" w:hAnsi="Verdana"/>
          <w:b/>
          <w:bCs/>
          <w:sz w:val="22"/>
          <w:szCs w:val="22"/>
        </w:rPr>
        <w:t xml:space="preserve"> μεσαίων επιχειρήσεων </w:t>
      </w:r>
      <w:r>
        <w:rPr>
          <w:rFonts w:ascii="Verdana" w:hAnsi="Verdana"/>
          <w:sz w:val="22"/>
          <w:szCs w:val="22"/>
        </w:rPr>
        <w:t>(από 50 έως 250 άτομα).</w:t>
      </w:r>
    </w:p>
    <w:p w14:paraId="2900C017" w14:textId="77777777" w:rsidR="00792159" w:rsidRDefault="00ED1799">
      <w:pPr>
        <w:ind w:firstLine="720"/>
        <w:jc w:val="both"/>
        <w:rPr>
          <w:rFonts w:ascii="Verdana" w:hAnsi="Verdana"/>
          <w:sz w:val="22"/>
          <w:szCs w:val="22"/>
        </w:rPr>
      </w:pPr>
      <w:r>
        <w:rPr>
          <w:rFonts w:ascii="Verdana" w:hAnsi="Verdana"/>
          <w:sz w:val="22"/>
          <w:szCs w:val="22"/>
        </w:rPr>
        <w:t xml:space="preserve">Από άποψη </w:t>
      </w:r>
      <w:r>
        <w:rPr>
          <w:rFonts w:ascii="Verdana" w:hAnsi="Verdana"/>
          <w:b/>
          <w:bCs/>
          <w:sz w:val="22"/>
          <w:szCs w:val="22"/>
        </w:rPr>
        <w:t>τομέα δραστηριότητας,</w:t>
      </w:r>
      <w:r>
        <w:rPr>
          <w:rFonts w:ascii="Verdana" w:hAnsi="Verdana"/>
          <w:sz w:val="22"/>
          <w:szCs w:val="22"/>
        </w:rPr>
        <w:t xml:space="preserve"> οι δραστηριότητες του τουρισμού καταλαμβάνουν το </w:t>
      </w:r>
      <w:r>
        <w:rPr>
          <w:rFonts w:ascii="Verdana" w:hAnsi="Verdana"/>
          <w:b/>
          <w:bCs/>
          <w:sz w:val="22"/>
          <w:szCs w:val="22"/>
        </w:rPr>
        <w:t xml:space="preserve">81,53% </w:t>
      </w:r>
      <w:r>
        <w:rPr>
          <w:rFonts w:ascii="Verdana" w:hAnsi="Verdana"/>
          <w:sz w:val="22"/>
          <w:szCs w:val="22"/>
        </w:rPr>
        <w:t>(627 επενδυτικά σχέδια με συνολική αιτούμενη δημόσια δαπάνη 128,1 εκ. ευρώ).</w:t>
      </w:r>
      <w:bookmarkEnd w:id="0"/>
    </w:p>
    <w:p w14:paraId="1CD5EB3B" w14:textId="77777777" w:rsidR="00792159" w:rsidRDefault="00792159">
      <w:pPr>
        <w:ind w:firstLine="720"/>
        <w:jc w:val="both"/>
        <w:rPr>
          <w:rFonts w:ascii="Verdana" w:hAnsi="Verdana"/>
          <w:sz w:val="22"/>
          <w:szCs w:val="22"/>
        </w:rPr>
      </w:pPr>
    </w:p>
    <w:p w14:paraId="55ADE4BD" w14:textId="77777777" w:rsidR="00792159" w:rsidRDefault="00ED1799">
      <w:pPr>
        <w:ind w:firstLine="720"/>
        <w:jc w:val="both"/>
        <w:rPr>
          <w:rFonts w:ascii="Verdana" w:hAnsi="Verdana"/>
          <w:b/>
          <w:bCs/>
          <w:color w:val="002060"/>
          <w:sz w:val="22"/>
          <w:szCs w:val="22"/>
          <w:u w:val="single"/>
        </w:rPr>
      </w:pPr>
      <w:r>
        <w:rPr>
          <w:rFonts w:ascii="Verdana" w:hAnsi="Verdana"/>
          <w:b/>
          <w:bCs/>
          <w:color w:val="002060"/>
          <w:sz w:val="22"/>
          <w:szCs w:val="22"/>
          <w:u w:val="single"/>
          <w:lang w:val="en-US"/>
        </w:rPr>
        <w:t>B</w:t>
      </w:r>
      <w:r>
        <w:rPr>
          <w:rFonts w:ascii="Verdana" w:hAnsi="Verdana"/>
          <w:b/>
          <w:bCs/>
          <w:color w:val="002060"/>
          <w:sz w:val="22"/>
          <w:szCs w:val="22"/>
          <w:u w:val="single"/>
        </w:rPr>
        <w:t>) Δράση «Κλειδί προόδου: Καινοτομία, εξωστρέφεια και βιώσιμη ανάπτυξη»</w:t>
      </w:r>
    </w:p>
    <w:p w14:paraId="0B2D0A3E" w14:textId="77777777" w:rsidR="00792159" w:rsidRDefault="00ED1799">
      <w:pPr>
        <w:ind w:firstLine="720"/>
        <w:jc w:val="both"/>
        <w:rPr>
          <w:rFonts w:ascii="Verdana" w:hAnsi="Verdana"/>
          <w:b/>
          <w:bCs/>
          <w:sz w:val="22"/>
          <w:szCs w:val="22"/>
        </w:rPr>
      </w:pPr>
      <w:r>
        <w:rPr>
          <w:rFonts w:ascii="Verdana" w:hAnsi="Verdana"/>
          <w:sz w:val="22"/>
          <w:szCs w:val="22"/>
        </w:rPr>
        <w:t xml:space="preserve">Η συγκεκριμένη δράση με </w:t>
      </w:r>
      <w:r>
        <w:rPr>
          <w:rFonts w:ascii="Verdana" w:hAnsi="Verdana"/>
          <w:b/>
          <w:bCs/>
          <w:sz w:val="22"/>
          <w:szCs w:val="22"/>
        </w:rPr>
        <w:t>διαθέσιμη δημόσια δαπάνη</w:t>
      </w:r>
      <w:r>
        <w:rPr>
          <w:rFonts w:ascii="Verdana" w:hAnsi="Verdana"/>
          <w:sz w:val="22"/>
          <w:szCs w:val="22"/>
        </w:rPr>
        <w:t xml:space="preserve"> </w:t>
      </w:r>
      <w:r>
        <w:rPr>
          <w:rFonts w:ascii="Verdana" w:hAnsi="Verdana"/>
          <w:b/>
          <w:bCs/>
          <w:sz w:val="22"/>
          <w:szCs w:val="22"/>
        </w:rPr>
        <w:t>140 εκ. ευρώ</w:t>
      </w:r>
      <w:r>
        <w:rPr>
          <w:rFonts w:ascii="Verdana" w:hAnsi="Verdana"/>
          <w:sz w:val="22"/>
          <w:szCs w:val="22"/>
        </w:rPr>
        <w:t xml:space="preserve">, αφορά σε </w:t>
      </w:r>
      <w:r>
        <w:rPr>
          <w:rFonts w:ascii="Verdana" w:hAnsi="Verdana"/>
          <w:b/>
          <w:bCs/>
          <w:sz w:val="22"/>
          <w:szCs w:val="22"/>
        </w:rPr>
        <w:t>υφιστάμενες πολύ μικρές, μικρές και μεσαίες επιχειρήσεις στους κλάδους μεταποίησης, εμπορίου, τουρισμού και υπηρεσιών</w:t>
      </w:r>
      <w:r>
        <w:rPr>
          <w:rFonts w:ascii="Verdana" w:hAnsi="Verdana"/>
          <w:sz w:val="22"/>
          <w:szCs w:val="22"/>
        </w:rPr>
        <w:t xml:space="preserve">. Συνολικά, υποβλήθηκαν </w:t>
      </w:r>
      <w:r>
        <w:rPr>
          <w:rFonts w:ascii="Verdana" w:hAnsi="Verdana"/>
          <w:b/>
          <w:bCs/>
          <w:sz w:val="22"/>
          <w:szCs w:val="22"/>
        </w:rPr>
        <w:t xml:space="preserve">2.688 </w:t>
      </w:r>
      <w:r>
        <w:rPr>
          <w:rFonts w:ascii="Verdana" w:hAnsi="Verdana"/>
          <w:sz w:val="22"/>
          <w:szCs w:val="22"/>
        </w:rPr>
        <w:t xml:space="preserve">επενδυτικά σχέδια από ισάριθμες επιχειρήσεις της Περιφέρειας Κεντρικής Μακεδονίας, με </w:t>
      </w:r>
      <w:r>
        <w:rPr>
          <w:rFonts w:ascii="Verdana" w:hAnsi="Verdana"/>
          <w:b/>
          <w:bCs/>
          <w:sz w:val="22"/>
          <w:szCs w:val="22"/>
        </w:rPr>
        <w:t>συνολικό</w:t>
      </w:r>
      <w:r>
        <w:rPr>
          <w:rFonts w:ascii="Verdana" w:hAnsi="Verdana"/>
          <w:sz w:val="22"/>
          <w:szCs w:val="22"/>
        </w:rPr>
        <w:t xml:space="preserve"> </w:t>
      </w:r>
      <w:r>
        <w:rPr>
          <w:rFonts w:ascii="Verdana" w:hAnsi="Verdana"/>
          <w:b/>
          <w:bCs/>
          <w:sz w:val="22"/>
          <w:szCs w:val="22"/>
        </w:rPr>
        <w:t>επιχορηγούμενο προϋπολογισμό περίπου 543,09 εκ. ευρώ και αναλογούσα δημόσια δαπάνη (επιχορήγηση) 271,54 εκ. ευρώ,</w:t>
      </w:r>
      <w:r>
        <w:rPr>
          <w:rFonts w:ascii="Verdana" w:hAnsi="Verdana"/>
          <w:sz w:val="22"/>
          <w:szCs w:val="22"/>
        </w:rPr>
        <w:t xml:space="preserve"> εμφανίζοντας </w:t>
      </w:r>
      <w:r>
        <w:rPr>
          <w:rFonts w:ascii="Verdana" w:hAnsi="Verdana"/>
          <w:b/>
          <w:bCs/>
          <w:sz w:val="22"/>
          <w:szCs w:val="22"/>
        </w:rPr>
        <w:t>ποσοστό υπέρβασης της τάξης του 70 %.</w:t>
      </w:r>
    </w:p>
    <w:p w14:paraId="59EEAF5C" w14:textId="77777777" w:rsidR="00792159" w:rsidRDefault="00ED1799">
      <w:pPr>
        <w:ind w:firstLine="720"/>
        <w:jc w:val="both"/>
        <w:rPr>
          <w:rFonts w:ascii="Verdana" w:hAnsi="Verdana"/>
          <w:sz w:val="22"/>
          <w:szCs w:val="22"/>
        </w:rPr>
      </w:pPr>
      <w:r>
        <w:rPr>
          <w:rFonts w:ascii="Verdana" w:hAnsi="Verdana"/>
          <w:sz w:val="22"/>
          <w:szCs w:val="22"/>
        </w:rPr>
        <w:t xml:space="preserve">Από πλευράς νομικής μορφής, την πρώτη θέση καταλαμβάνουν οι </w:t>
      </w:r>
      <w:r>
        <w:rPr>
          <w:rFonts w:ascii="Verdana" w:hAnsi="Verdana"/>
          <w:b/>
          <w:bCs/>
          <w:sz w:val="22"/>
          <w:szCs w:val="22"/>
        </w:rPr>
        <w:t xml:space="preserve">ατομικές επιχειρήσεις </w:t>
      </w:r>
      <w:r>
        <w:rPr>
          <w:rFonts w:ascii="Verdana" w:hAnsi="Verdana"/>
          <w:sz w:val="22"/>
          <w:szCs w:val="22"/>
        </w:rPr>
        <w:t xml:space="preserve">με ποσοστό </w:t>
      </w:r>
      <w:r>
        <w:rPr>
          <w:rFonts w:ascii="Verdana" w:hAnsi="Verdana"/>
          <w:b/>
          <w:bCs/>
          <w:sz w:val="22"/>
          <w:szCs w:val="22"/>
        </w:rPr>
        <w:t>31,99%</w:t>
      </w:r>
      <w:r>
        <w:rPr>
          <w:rFonts w:ascii="Verdana" w:hAnsi="Verdana"/>
          <w:sz w:val="22"/>
          <w:szCs w:val="22"/>
        </w:rPr>
        <w:t xml:space="preserve"> (860 επιχειρήσεις με συνολική αιτούμενη δημόσια δαπάνη 47 εκ. ευρώ) και ακολουθούν οι </w:t>
      </w:r>
      <w:r>
        <w:rPr>
          <w:rFonts w:ascii="Verdana" w:hAnsi="Verdana"/>
          <w:b/>
          <w:bCs/>
          <w:sz w:val="22"/>
          <w:szCs w:val="22"/>
        </w:rPr>
        <w:t>Α.Ε.</w:t>
      </w:r>
      <w:r>
        <w:rPr>
          <w:rFonts w:ascii="Verdana" w:hAnsi="Verdana"/>
          <w:sz w:val="22"/>
          <w:szCs w:val="22"/>
        </w:rPr>
        <w:t xml:space="preserve"> (Ανώνυμη Εταιρεία)</w:t>
      </w:r>
      <w:r>
        <w:rPr>
          <w:rFonts w:ascii="Verdana" w:hAnsi="Verdana"/>
          <w:b/>
          <w:bCs/>
          <w:sz w:val="22"/>
          <w:szCs w:val="22"/>
        </w:rPr>
        <w:t xml:space="preserve"> </w:t>
      </w:r>
      <w:r>
        <w:rPr>
          <w:rFonts w:ascii="Verdana" w:hAnsi="Verdana"/>
          <w:sz w:val="22"/>
          <w:szCs w:val="22"/>
        </w:rPr>
        <w:t xml:space="preserve">με ποσοστό </w:t>
      </w:r>
      <w:r>
        <w:rPr>
          <w:rFonts w:ascii="Verdana" w:hAnsi="Verdana"/>
          <w:b/>
          <w:bCs/>
          <w:sz w:val="22"/>
          <w:szCs w:val="22"/>
        </w:rPr>
        <w:t>20,46%</w:t>
      </w:r>
      <w:r>
        <w:rPr>
          <w:rFonts w:ascii="Verdana" w:hAnsi="Verdana"/>
          <w:sz w:val="22"/>
          <w:szCs w:val="22"/>
        </w:rPr>
        <w:t xml:space="preserve"> (550 επιχειρήσεις με συνολική αιτούμενη δημόσια δαπάνη  82,8 εκ. ευρώ).</w:t>
      </w:r>
    </w:p>
    <w:p w14:paraId="34CA3729" w14:textId="77777777" w:rsidR="00792159" w:rsidRDefault="00ED1799">
      <w:pPr>
        <w:ind w:firstLine="720"/>
        <w:jc w:val="both"/>
        <w:rPr>
          <w:rFonts w:ascii="Verdana" w:hAnsi="Verdana"/>
          <w:sz w:val="22"/>
          <w:szCs w:val="22"/>
        </w:rPr>
      </w:pPr>
      <w:r>
        <w:rPr>
          <w:rFonts w:ascii="Verdana" w:hAnsi="Verdana"/>
          <w:sz w:val="22"/>
          <w:szCs w:val="22"/>
        </w:rPr>
        <w:t xml:space="preserve">Ως προς το μέγεθος των επιχειρήσεων, το </w:t>
      </w:r>
      <w:r>
        <w:rPr>
          <w:rFonts w:ascii="Verdana" w:hAnsi="Verdana"/>
          <w:b/>
          <w:bCs/>
          <w:sz w:val="22"/>
          <w:szCs w:val="22"/>
        </w:rPr>
        <w:t>63,69%</w:t>
      </w:r>
      <w:r>
        <w:rPr>
          <w:rFonts w:ascii="Verdana" w:hAnsi="Verdana"/>
          <w:sz w:val="22"/>
          <w:szCs w:val="22"/>
        </w:rPr>
        <w:t xml:space="preserve"> (1.712 επιχειρήσεις με συνολική αιτούμενη δημόσια δαπάνη 128,2 εκ. ευρώ) ανήκει στην κατηγορία των </w:t>
      </w:r>
      <w:r>
        <w:rPr>
          <w:rFonts w:ascii="Verdana" w:hAnsi="Verdana"/>
          <w:b/>
          <w:bCs/>
          <w:sz w:val="22"/>
          <w:szCs w:val="22"/>
        </w:rPr>
        <w:t xml:space="preserve">πολύ μικρών επιχειρήσεων </w:t>
      </w:r>
      <w:r>
        <w:rPr>
          <w:rFonts w:ascii="Verdana" w:hAnsi="Verdana"/>
          <w:sz w:val="22"/>
          <w:szCs w:val="22"/>
        </w:rPr>
        <w:t>(έως 10 άτομα)</w:t>
      </w:r>
      <w:r>
        <w:rPr>
          <w:rFonts w:ascii="Verdana" w:hAnsi="Verdana"/>
          <w:b/>
          <w:bCs/>
          <w:sz w:val="22"/>
          <w:szCs w:val="22"/>
        </w:rPr>
        <w:t xml:space="preserve"> </w:t>
      </w:r>
      <w:r>
        <w:rPr>
          <w:rFonts w:ascii="Verdana" w:hAnsi="Verdana"/>
          <w:sz w:val="22"/>
          <w:szCs w:val="22"/>
        </w:rPr>
        <w:t>ενώ ακολουθούν με</w:t>
      </w:r>
      <w:r>
        <w:rPr>
          <w:rFonts w:ascii="Verdana" w:hAnsi="Verdana"/>
          <w:b/>
          <w:bCs/>
          <w:sz w:val="22"/>
          <w:szCs w:val="22"/>
        </w:rPr>
        <w:t xml:space="preserve"> 27,72%</w:t>
      </w:r>
      <w:r>
        <w:rPr>
          <w:rFonts w:ascii="Verdana" w:hAnsi="Verdana"/>
          <w:sz w:val="22"/>
          <w:szCs w:val="22"/>
        </w:rPr>
        <w:t xml:space="preserve"> (</w:t>
      </w:r>
      <w:bookmarkStart w:id="2" w:name="_Hlk210292425"/>
      <w:r>
        <w:rPr>
          <w:rFonts w:ascii="Verdana" w:hAnsi="Verdana"/>
          <w:sz w:val="22"/>
          <w:szCs w:val="22"/>
        </w:rPr>
        <w:t>745 επιχειρήσεις με συνολική αιτούμενη δημόσια δαπάνη 104,38 εκ. ευρώ</w:t>
      </w:r>
      <w:bookmarkEnd w:id="2"/>
      <w:r>
        <w:rPr>
          <w:rFonts w:ascii="Verdana" w:hAnsi="Verdana"/>
          <w:sz w:val="22"/>
          <w:szCs w:val="22"/>
        </w:rPr>
        <w:t xml:space="preserve">) η κατηγορία των </w:t>
      </w:r>
      <w:r>
        <w:rPr>
          <w:rFonts w:ascii="Verdana" w:hAnsi="Verdana"/>
          <w:b/>
          <w:bCs/>
          <w:sz w:val="22"/>
          <w:szCs w:val="22"/>
        </w:rPr>
        <w:t xml:space="preserve">μικρών επιχειρήσεων </w:t>
      </w:r>
      <w:r>
        <w:rPr>
          <w:rFonts w:ascii="Verdana" w:hAnsi="Verdana"/>
          <w:sz w:val="22"/>
          <w:szCs w:val="22"/>
        </w:rPr>
        <w:t>(από 10 έως 50 άτομα)</w:t>
      </w:r>
      <w:r>
        <w:rPr>
          <w:rFonts w:ascii="Verdana" w:hAnsi="Verdana"/>
          <w:b/>
          <w:bCs/>
          <w:sz w:val="22"/>
          <w:szCs w:val="22"/>
        </w:rPr>
        <w:t xml:space="preserve"> </w:t>
      </w:r>
      <w:r>
        <w:rPr>
          <w:rFonts w:ascii="Verdana" w:hAnsi="Verdana"/>
          <w:sz w:val="22"/>
          <w:szCs w:val="22"/>
        </w:rPr>
        <w:t>και με</w:t>
      </w:r>
      <w:r>
        <w:rPr>
          <w:rFonts w:ascii="Verdana" w:hAnsi="Verdana"/>
          <w:b/>
          <w:bCs/>
          <w:sz w:val="22"/>
          <w:szCs w:val="22"/>
        </w:rPr>
        <w:t xml:space="preserve"> 8,59% </w:t>
      </w:r>
      <w:r>
        <w:rPr>
          <w:rFonts w:ascii="Verdana" w:hAnsi="Verdana"/>
          <w:sz w:val="22"/>
          <w:szCs w:val="22"/>
        </w:rPr>
        <w:t xml:space="preserve">η κατηγορία των </w:t>
      </w:r>
      <w:r>
        <w:rPr>
          <w:rFonts w:ascii="Verdana" w:hAnsi="Verdana"/>
          <w:b/>
          <w:bCs/>
          <w:sz w:val="22"/>
          <w:szCs w:val="22"/>
        </w:rPr>
        <w:t>μεσαίων επιχειρήσεων</w:t>
      </w:r>
      <w:r>
        <w:rPr>
          <w:rFonts w:ascii="Verdana" w:hAnsi="Verdana"/>
          <w:sz w:val="22"/>
          <w:szCs w:val="22"/>
        </w:rPr>
        <w:t xml:space="preserve"> (231 επιχειρήσεις με συνολική αιτούμενη δημόσια δαπάνη 38,96 εκ. ευρώ).</w:t>
      </w:r>
    </w:p>
    <w:p w14:paraId="4CB2F876" w14:textId="77777777" w:rsidR="00792159" w:rsidRDefault="00ED1799">
      <w:pPr>
        <w:ind w:firstLine="720"/>
        <w:jc w:val="both"/>
        <w:rPr>
          <w:rFonts w:ascii="Verdana" w:hAnsi="Verdana"/>
          <w:b/>
          <w:bCs/>
          <w:sz w:val="22"/>
          <w:szCs w:val="22"/>
        </w:rPr>
      </w:pPr>
      <w:r>
        <w:rPr>
          <w:rFonts w:ascii="Verdana" w:hAnsi="Verdana"/>
          <w:sz w:val="22"/>
          <w:szCs w:val="22"/>
        </w:rPr>
        <w:t xml:space="preserve">Από άποψη </w:t>
      </w:r>
      <w:r>
        <w:rPr>
          <w:rFonts w:ascii="Verdana" w:hAnsi="Verdana"/>
          <w:b/>
          <w:bCs/>
          <w:sz w:val="22"/>
          <w:szCs w:val="22"/>
        </w:rPr>
        <w:t>τομέα δραστηριότητας,</w:t>
      </w:r>
      <w:r>
        <w:rPr>
          <w:rFonts w:ascii="Verdana" w:hAnsi="Verdana"/>
          <w:sz w:val="22"/>
          <w:szCs w:val="22"/>
        </w:rPr>
        <w:t xml:space="preserve"> οι δραστηριότητες των υπηρεσιών (εκτός υπηρεσιών μεταποίησης και τουρισμού) καταλαμβάνουν το </w:t>
      </w:r>
      <w:r>
        <w:rPr>
          <w:rFonts w:ascii="Verdana" w:hAnsi="Verdana"/>
          <w:b/>
          <w:bCs/>
          <w:sz w:val="22"/>
          <w:szCs w:val="22"/>
        </w:rPr>
        <w:t xml:space="preserve">46,61% </w:t>
      </w:r>
      <w:r>
        <w:rPr>
          <w:rFonts w:ascii="Verdana" w:hAnsi="Verdana"/>
          <w:sz w:val="22"/>
          <w:szCs w:val="22"/>
        </w:rPr>
        <w:t xml:space="preserve">(1.253 επενδυτικά σχέδια) και ακολουθούν οι δραστηριότητες της μεταποίησης και υποστηρικτικών υπηρεσιών προς αυτήν με ποσοστό </w:t>
      </w:r>
      <w:r>
        <w:rPr>
          <w:rFonts w:ascii="Verdana" w:hAnsi="Verdana"/>
          <w:b/>
          <w:bCs/>
          <w:sz w:val="22"/>
          <w:szCs w:val="22"/>
        </w:rPr>
        <w:t xml:space="preserve">25,97% </w:t>
      </w:r>
      <w:r>
        <w:rPr>
          <w:rFonts w:ascii="Verdana" w:hAnsi="Verdana"/>
          <w:sz w:val="22"/>
          <w:szCs w:val="22"/>
        </w:rPr>
        <w:t xml:space="preserve">(698 επενδυτικά σχέδια), το χονδρικό εμπόριο με ποσοστό </w:t>
      </w:r>
      <w:r>
        <w:rPr>
          <w:rFonts w:ascii="Verdana" w:hAnsi="Verdana"/>
          <w:b/>
          <w:bCs/>
          <w:sz w:val="22"/>
          <w:szCs w:val="22"/>
        </w:rPr>
        <w:t xml:space="preserve">13,47% </w:t>
      </w:r>
      <w:r>
        <w:rPr>
          <w:rFonts w:ascii="Verdana" w:hAnsi="Verdana"/>
          <w:sz w:val="22"/>
          <w:szCs w:val="22"/>
        </w:rPr>
        <w:t xml:space="preserve">(362 επενδυτικά σχέδια), το λιανικό εμπόριο με ποσοστό </w:t>
      </w:r>
      <w:r>
        <w:rPr>
          <w:rFonts w:ascii="Verdana" w:hAnsi="Verdana"/>
          <w:b/>
          <w:bCs/>
          <w:sz w:val="22"/>
          <w:szCs w:val="22"/>
        </w:rPr>
        <w:t xml:space="preserve">7,63% </w:t>
      </w:r>
      <w:r>
        <w:rPr>
          <w:rFonts w:ascii="Verdana" w:hAnsi="Verdana"/>
          <w:sz w:val="22"/>
          <w:szCs w:val="22"/>
        </w:rPr>
        <w:t xml:space="preserve">(205 επενδυτικά σχέδια) και τέλος ο τουρισμός και οι υποστηρικτικές υπηρεσίες προς αυτόν με ποσοστό </w:t>
      </w:r>
      <w:r>
        <w:rPr>
          <w:rFonts w:ascii="Verdana" w:hAnsi="Verdana"/>
          <w:b/>
          <w:bCs/>
          <w:sz w:val="22"/>
          <w:szCs w:val="22"/>
        </w:rPr>
        <w:t xml:space="preserve">6,32% </w:t>
      </w:r>
      <w:r>
        <w:rPr>
          <w:rFonts w:ascii="Verdana" w:hAnsi="Verdana"/>
          <w:sz w:val="22"/>
          <w:szCs w:val="22"/>
        </w:rPr>
        <w:t>(170 επενδυτικά σχέδια)</w:t>
      </w:r>
      <w:r>
        <w:rPr>
          <w:rFonts w:ascii="Verdana" w:hAnsi="Verdana"/>
          <w:b/>
          <w:bCs/>
          <w:sz w:val="22"/>
          <w:szCs w:val="22"/>
        </w:rPr>
        <w:t>.</w:t>
      </w:r>
    </w:p>
    <w:p w14:paraId="08F2952C" w14:textId="77777777" w:rsidR="00792159" w:rsidRDefault="00ED1799">
      <w:pPr>
        <w:ind w:firstLine="720"/>
        <w:jc w:val="both"/>
        <w:rPr>
          <w:rFonts w:ascii="Verdana" w:hAnsi="Verdana"/>
          <w:sz w:val="22"/>
          <w:szCs w:val="22"/>
        </w:rPr>
      </w:pPr>
      <w:r>
        <w:rPr>
          <w:rFonts w:ascii="Verdana" w:hAnsi="Verdana"/>
          <w:sz w:val="22"/>
          <w:szCs w:val="22"/>
        </w:rPr>
        <w:t>Με την ολοκλήρωση των απαραίτητων τεχνικών διαδικασιών θα ξεκινήσει η αξιολόγηση των αιτήσεων.</w:t>
      </w:r>
    </w:p>
    <w:p w14:paraId="5D516557" w14:textId="77777777" w:rsidR="00792159" w:rsidRDefault="00ED1799">
      <w:pPr>
        <w:ind w:firstLine="720"/>
        <w:jc w:val="both"/>
        <w:rPr>
          <w:rFonts w:ascii="Verdana" w:hAnsi="Verdana"/>
          <w:sz w:val="22"/>
          <w:szCs w:val="22"/>
        </w:rPr>
      </w:pPr>
      <w:r>
        <w:rPr>
          <w:rFonts w:ascii="Verdana" w:hAnsi="Verdana"/>
          <w:sz w:val="22"/>
          <w:szCs w:val="22"/>
        </w:rPr>
        <w:t xml:space="preserve">Για </w:t>
      </w:r>
      <w:r>
        <w:rPr>
          <w:rFonts w:ascii="Verdana" w:hAnsi="Verdana"/>
          <w:b/>
          <w:bCs/>
          <w:sz w:val="22"/>
          <w:szCs w:val="22"/>
        </w:rPr>
        <w:t>πληροφορίες και διευκρινίσεις</w:t>
      </w:r>
      <w:r>
        <w:rPr>
          <w:rFonts w:ascii="Verdana" w:hAnsi="Verdana"/>
          <w:sz w:val="22"/>
          <w:szCs w:val="22"/>
        </w:rPr>
        <w:t xml:space="preserve"> οι υποψήφιοι, μπορούν να απευθύνονται στην ΚΕΠΑ-ΑΝΕΜ ΑΜΚΕ/EΦΕΠΑΕ (τηλ 2310-480.000, info@e-kepa.gr, info@kepa-anem.gr, www.kepa-anem.gr).</w:t>
      </w:r>
    </w:p>
    <w:p w14:paraId="16A9A8D4" w14:textId="77777777" w:rsidR="00792159" w:rsidRDefault="00792159">
      <w:pPr>
        <w:ind w:firstLine="720"/>
        <w:jc w:val="both"/>
        <w:rPr>
          <w:rFonts w:ascii="Verdana" w:hAnsi="Verdana" w:cs="Georgia"/>
          <w:sz w:val="22"/>
          <w:szCs w:val="22"/>
        </w:rPr>
      </w:pPr>
    </w:p>
    <w:sectPr w:rsidR="00792159">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Liberation Serif">
    <w:altName w:val="Times New Roman"/>
    <w:charset w:val="A1"/>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Liberation Sans">
    <w:altName w:val="Arial"/>
    <w:charset w:val="A1"/>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Georgia">
    <w:panose1 w:val="02040502050405020303"/>
    <w:charset w:val="A1"/>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159"/>
    <w:rsid w:val="00073341"/>
    <w:rsid w:val="00792159"/>
    <w:rsid w:val="00ED1799"/>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6ADBC"/>
  <w15:docId w15:val="{5436BB81-1048-43C3-B6B2-6A96F6252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5E59"/>
    <w:pPr>
      <w:suppressAutoHyphens/>
    </w:pPr>
    <w:rPr>
      <w:rFonts w:ascii="Liberation Serif" w:eastAsia="NSimSun" w:hAnsi="Liberation Serif" w:cs="Lucida Sans"/>
      <w:lang w:eastAsia="zh-CN" w:bidi="hi-IN"/>
      <w14:ligatures w14:val="none"/>
    </w:rPr>
  </w:style>
  <w:style w:type="paragraph" w:styleId="1">
    <w:name w:val="heading 1"/>
    <w:basedOn w:val="a"/>
    <w:next w:val="a"/>
    <w:link w:val="1Char"/>
    <w:uiPriority w:val="9"/>
    <w:qFormat/>
    <w:rsid w:val="00095E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095E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095E5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095E5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095E5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095E59"/>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95E59"/>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95E59"/>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95E59"/>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qFormat/>
    <w:rsid w:val="00095E59"/>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qFormat/>
    <w:rsid w:val="00095E59"/>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qFormat/>
    <w:rsid w:val="00095E59"/>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qFormat/>
    <w:rsid w:val="00095E59"/>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qFormat/>
    <w:rsid w:val="00095E59"/>
    <w:rPr>
      <w:rFonts w:eastAsiaTheme="majorEastAsia" w:cstheme="majorBidi"/>
      <w:color w:val="0F4761" w:themeColor="accent1" w:themeShade="BF"/>
    </w:rPr>
  </w:style>
  <w:style w:type="character" w:customStyle="1" w:styleId="6Char">
    <w:name w:val="Επικεφαλίδα 6 Char"/>
    <w:basedOn w:val="a0"/>
    <w:link w:val="6"/>
    <w:uiPriority w:val="9"/>
    <w:semiHidden/>
    <w:qFormat/>
    <w:rsid w:val="00095E59"/>
    <w:rPr>
      <w:rFonts w:eastAsiaTheme="majorEastAsia" w:cstheme="majorBidi"/>
      <w:i/>
      <w:iCs/>
      <w:color w:val="595959" w:themeColor="text1" w:themeTint="A6"/>
    </w:rPr>
  </w:style>
  <w:style w:type="character" w:customStyle="1" w:styleId="7Char">
    <w:name w:val="Επικεφαλίδα 7 Char"/>
    <w:basedOn w:val="a0"/>
    <w:link w:val="7"/>
    <w:uiPriority w:val="9"/>
    <w:semiHidden/>
    <w:qFormat/>
    <w:rsid w:val="00095E59"/>
    <w:rPr>
      <w:rFonts w:eastAsiaTheme="majorEastAsia" w:cstheme="majorBidi"/>
      <w:color w:val="595959" w:themeColor="text1" w:themeTint="A6"/>
    </w:rPr>
  </w:style>
  <w:style w:type="character" w:customStyle="1" w:styleId="8Char">
    <w:name w:val="Επικεφαλίδα 8 Char"/>
    <w:basedOn w:val="a0"/>
    <w:link w:val="8"/>
    <w:uiPriority w:val="9"/>
    <w:semiHidden/>
    <w:qFormat/>
    <w:rsid w:val="00095E59"/>
    <w:rPr>
      <w:rFonts w:eastAsiaTheme="majorEastAsia" w:cstheme="majorBidi"/>
      <w:i/>
      <w:iCs/>
      <w:color w:val="272727" w:themeColor="text1" w:themeTint="D8"/>
    </w:rPr>
  </w:style>
  <w:style w:type="character" w:customStyle="1" w:styleId="9Char">
    <w:name w:val="Επικεφαλίδα 9 Char"/>
    <w:basedOn w:val="a0"/>
    <w:link w:val="9"/>
    <w:uiPriority w:val="9"/>
    <w:semiHidden/>
    <w:qFormat/>
    <w:rsid w:val="00095E59"/>
    <w:rPr>
      <w:rFonts w:eastAsiaTheme="majorEastAsia" w:cstheme="majorBidi"/>
      <w:color w:val="272727" w:themeColor="text1" w:themeTint="D8"/>
    </w:rPr>
  </w:style>
  <w:style w:type="character" w:customStyle="1" w:styleId="Char">
    <w:name w:val="Τίτλος Char"/>
    <w:basedOn w:val="a0"/>
    <w:link w:val="a3"/>
    <w:uiPriority w:val="10"/>
    <w:qFormat/>
    <w:rsid w:val="00095E59"/>
    <w:rPr>
      <w:rFonts w:asciiTheme="majorHAnsi" w:eastAsiaTheme="majorEastAsia" w:hAnsiTheme="majorHAnsi" w:cstheme="majorBidi"/>
      <w:spacing w:val="-10"/>
      <w:kern w:val="2"/>
      <w:sz w:val="56"/>
      <w:szCs w:val="56"/>
    </w:rPr>
  </w:style>
  <w:style w:type="character" w:customStyle="1" w:styleId="Char0">
    <w:name w:val="Απόσπασμα Char"/>
    <w:basedOn w:val="a0"/>
    <w:link w:val="a4"/>
    <w:uiPriority w:val="11"/>
    <w:qFormat/>
    <w:rsid w:val="00095E59"/>
    <w:rPr>
      <w:rFonts w:eastAsiaTheme="majorEastAsia" w:cstheme="majorBidi"/>
      <w:color w:val="595959" w:themeColor="text1" w:themeTint="A6"/>
      <w:spacing w:val="15"/>
      <w:sz w:val="28"/>
      <w:szCs w:val="28"/>
    </w:rPr>
  </w:style>
  <w:style w:type="character" w:customStyle="1" w:styleId="Char1">
    <w:name w:val="Έντονο απόσπ. Char1"/>
    <w:basedOn w:val="a0"/>
    <w:link w:val="a5"/>
    <w:uiPriority w:val="29"/>
    <w:qFormat/>
    <w:rsid w:val="00095E59"/>
    <w:rPr>
      <w:i/>
      <w:iCs/>
      <w:color w:val="404040" w:themeColor="text1" w:themeTint="BF"/>
    </w:rPr>
  </w:style>
  <w:style w:type="character" w:styleId="a6">
    <w:name w:val="Intense Emphasis"/>
    <w:basedOn w:val="a0"/>
    <w:uiPriority w:val="21"/>
    <w:qFormat/>
    <w:rsid w:val="00095E59"/>
    <w:rPr>
      <w:i/>
      <w:iCs/>
      <w:color w:val="0F4761" w:themeColor="accent1" w:themeShade="BF"/>
    </w:rPr>
  </w:style>
  <w:style w:type="character" w:customStyle="1" w:styleId="Char2">
    <w:name w:val="Έντονο απόσπ. Char"/>
    <w:basedOn w:val="a0"/>
    <w:uiPriority w:val="30"/>
    <w:qFormat/>
    <w:rsid w:val="00095E59"/>
    <w:rPr>
      <w:i/>
      <w:iCs/>
      <w:color w:val="0F4761" w:themeColor="accent1" w:themeShade="BF"/>
    </w:rPr>
  </w:style>
  <w:style w:type="character" w:styleId="a7">
    <w:name w:val="Intense Reference"/>
    <w:basedOn w:val="a0"/>
    <w:uiPriority w:val="32"/>
    <w:qFormat/>
    <w:rsid w:val="00095E59"/>
    <w:rPr>
      <w:b/>
      <w:bCs/>
      <w:smallCaps/>
      <w:color w:val="0F4761" w:themeColor="accent1" w:themeShade="BF"/>
      <w:spacing w:val="5"/>
    </w:rPr>
  </w:style>
  <w:style w:type="paragraph" w:customStyle="1" w:styleId="a8">
    <w:name w:val="Επικεφαλίδα"/>
    <w:basedOn w:val="a"/>
    <w:next w:val="a9"/>
    <w:qFormat/>
    <w:pPr>
      <w:keepNext/>
      <w:spacing w:before="240" w:after="120"/>
    </w:pPr>
    <w:rPr>
      <w:rFonts w:ascii="Liberation Sans" w:eastAsia="Microsoft YaHei" w:hAnsi="Liberation Sans" w:cs="Arial"/>
      <w:sz w:val="28"/>
      <w:szCs w:val="28"/>
    </w:rPr>
  </w:style>
  <w:style w:type="paragraph" w:styleId="a9">
    <w:name w:val="Body Text"/>
    <w:basedOn w:val="a"/>
    <w:pPr>
      <w:spacing w:after="140" w:line="276" w:lineRule="auto"/>
    </w:pPr>
  </w:style>
  <w:style w:type="paragraph" w:styleId="aa">
    <w:name w:val="List"/>
    <w:basedOn w:val="a9"/>
    <w:rPr>
      <w:rFonts w:cs="Arial"/>
    </w:rPr>
  </w:style>
  <w:style w:type="paragraph" w:styleId="ab">
    <w:name w:val="caption"/>
    <w:basedOn w:val="a"/>
    <w:qFormat/>
    <w:pPr>
      <w:suppressLineNumbers/>
      <w:spacing w:before="120" w:after="120"/>
    </w:pPr>
    <w:rPr>
      <w:rFonts w:cs="Arial"/>
      <w:i/>
      <w:iCs/>
    </w:rPr>
  </w:style>
  <w:style w:type="paragraph" w:customStyle="1" w:styleId="ac">
    <w:name w:val="Ευρετήριο"/>
    <w:basedOn w:val="a"/>
    <w:qFormat/>
    <w:pPr>
      <w:suppressLineNumbers/>
    </w:pPr>
    <w:rPr>
      <w:rFonts w:cs="Arial"/>
    </w:rPr>
  </w:style>
  <w:style w:type="paragraph" w:styleId="a3">
    <w:name w:val="Title"/>
    <w:basedOn w:val="a"/>
    <w:next w:val="a"/>
    <w:link w:val="Char"/>
    <w:uiPriority w:val="10"/>
    <w:qFormat/>
    <w:rsid w:val="00095E59"/>
    <w:pPr>
      <w:spacing w:after="80"/>
      <w:contextualSpacing/>
    </w:pPr>
    <w:rPr>
      <w:rFonts w:asciiTheme="majorHAnsi" w:eastAsiaTheme="majorEastAsia" w:hAnsiTheme="majorHAnsi" w:cstheme="majorBidi"/>
      <w:spacing w:val="-10"/>
      <w:sz w:val="56"/>
      <w:szCs w:val="56"/>
    </w:rPr>
  </w:style>
  <w:style w:type="paragraph" w:styleId="ad">
    <w:name w:val="Subtitle"/>
    <w:basedOn w:val="a"/>
    <w:next w:val="a"/>
    <w:uiPriority w:val="11"/>
    <w:qFormat/>
    <w:rsid w:val="00095E59"/>
    <w:rPr>
      <w:rFonts w:eastAsiaTheme="majorEastAsia" w:cstheme="majorBidi"/>
      <w:color w:val="595959" w:themeColor="text1" w:themeTint="A6"/>
      <w:spacing w:val="15"/>
      <w:sz w:val="28"/>
      <w:szCs w:val="28"/>
    </w:rPr>
  </w:style>
  <w:style w:type="paragraph" w:styleId="a4">
    <w:name w:val="Quote"/>
    <w:basedOn w:val="a"/>
    <w:next w:val="a"/>
    <w:link w:val="Char0"/>
    <w:uiPriority w:val="29"/>
    <w:qFormat/>
    <w:rsid w:val="00095E59"/>
    <w:pPr>
      <w:spacing w:before="160"/>
      <w:jc w:val="center"/>
    </w:pPr>
    <w:rPr>
      <w:i/>
      <w:iCs/>
      <w:color w:val="404040" w:themeColor="text1" w:themeTint="BF"/>
    </w:rPr>
  </w:style>
  <w:style w:type="paragraph" w:styleId="ae">
    <w:name w:val="List Paragraph"/>
    <w:basedOn w:val="a"/>
    <w:uiPriority w:val="34"/>
    <w:qFormat/>
    <w:rsid w:val="00095E59"/>
    <w:pPr>
      <w:ind w:left="720"/>
      <w:contextualSpacing/>
    </w:pPr>
  </w:style>
  <w:style w:type="paragraph" w:styleId="a5">
    <w:name w:val="Intense Quote"/>
    <w:basedOn w:val="a"/>
    <w:next w:val="a"/>
    <w:link w:val="Char1"/>
    <w:uiPriority w:val="30"/>
    <w:qFormat/>
    <w:rsid w:val="00095E59"/>
    <w:pPr>
      <w:pBdr>
        <w:top w:val="single" w:sz="4" w:space="10" w:color="0F4761"/>
        <w:bottom w:val="single" w:sz="4" w:space="10" w:color="0F4761"/>
      </w:pBdr>
      <w:spacing w:before="360" w:after="360"/>
      <w:ind w:left="864" w:right="864"/>
      <w:jc w:val="center"/>
    </w:pPr>
    <w:rPr>
      <w:i/>
      <w:iCs/>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1022</Words>
  <Characters>5523</Characters>
  <Application>Microsoft Office Word</Application>
  <DocSecurity>0</DocSecurity>
  <Lines>46</Lines>
  <Paragraphs>13</Paragraphs>
  <ScaleCrop>false</ScaleCrop>
  <Company>PKM</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Tasos Tasioulas</dc:creator>
  <dc:description/>
  <cp:lastModifiedBy>ΤΖΕΝΗ ΚΩΤΙΚΑ</cp:lastModifiedBy>
  <cp:revision>4</cp:revision>
  <dcterms:created xsi:type="dcterms:W3CDTF">2025-10-08T08:51:00Z</dcterms:created>
  <dcterms:modified xsi:type="dcterms:W3CDTF">2025-10-13T06:57:00Z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PKM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